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0C81" w14:textId="77777777" w:rsidR="003D1A2C" w:rsidRDefault="003D1A2C" w:rsidP="003D1A2C">
      <w:pPr>
        <w:pStyle w:val="BasicParagraph"/>
        <w:spacing w:before="120" w:after="120"/>
        <w:jc w:val="center"/>
        <w:rPr>
          <w:rFonts w:ascii="Georgia" w:hAnsi="Georgia" w:cs="Georgia"/>
          <w:b/>
          <w:bCs/>
          <w:sz w:val="22"/>
          <w:szCs w:val="22"/>
        </w:rPr>
      </w:pPr>
      <w:r>
        <w:rPr>
          <w:rFonts w:ascii="Georgia" w:hAnsi="Georgia" w:cs="Georgia"/>
          <w:b/>
          <w:bCs/>
          <w:sz w:val="22"/>
          <w:szCs w:val="22"/>
        </w:rPr>
        <w:t>The Pleasure of the LMS:</w:t>
      </w:r>
    </w:p>
    <w:p w14:paraId="2C9E79FF" w14:textId="77777777" w:rsidR="003D1A2C" w:rsidRDefault="003D1A2C" w:rsidP="003D1A2C">
      <w:pPr>
        <w:pStyle w:val="BasicParagraph"/>
        <w:spacing w:before="120" w:after="120"/>
        <w:jc w:val="center"/>
        <w:rPr>
          <w:rFonts w:ascii="Georgia" w:hAnsi="Georgia" w:cs="Georgia"/>
          <w:b/>
          <w:bCs/>
          <w:sz w:val="22"/>
          <w:szCs w:val="22"/>
        </w:rPr>
      </w:pPr>
      <w:r>
        <w:rPr>
          <w:rFonts w:ascii="Georgia" w:hAnsi="Georgia" w:cs="Georgia"/>
          <w:b/>
          <w:bCs/>
          <w:sz w:val="22"/>
          <w:szCs w:val="22"/>
        </w:rPr>
        <w:t>How to Motivate Educator Usage of a social ICT</w:t>
      </w:r>
    </w:p>
    <w:p w14:paraId="56BAE9E7" w14:textId="77777777" w:rsidR="003D1A2C" w:rsidRDefault="003D1A2C" w:rsidP="003D1A2C">
      <w:pPr>
        <w:pStyle w:val="BasicParagraph"/>
        <w:spacing w:before="120" w:after="120"/>
        <w:jc w:val="center"/>
        <w:rPr>
          <w:rFonts w:ascii="Georgia" w:hAnsi="Georgia" w:cs="Georgia"/>
          <w:b/>
          <w:bCs/>
          <w:sz w:val="22"/>
          <w:szCs w:val="22"/>
        </w:rPr>
      </w:pPr>
    </w:p>
    <w:p w14:paraId="5BAC1A95" w14:textId="77777777" w:rsidR="003D1A2C" w:rsidRDefault="003D1A2C" w:rsidP="003D1A2C">
      <w:pPr>
        <w:pStyle w:val="BasicParagraph"/>
        <w:spacing w:before="120" w:after="120"/>
        <w:jc w:val="center"/>
        <w:rPr>
          <w:rFonts w:ascii="Georgia" w:hAnsi="Georgia" w:cs="Georgia"/>
          <w:b/>
          <w:bCs/>
          <w:sz w:val="22"/>
          <w:szCs w:val="22"/>
        </w:rPr>
      </w:pPr>
    </w:p>
    <w:p w14:paraId="7484B3E5" w14:textId="77777777" w:rsidR="003D1A2C" w:rsidRDefault="003D1A2C" w:rsidP="003D1A2C">
      <w:pPr>
        <w:pStyle w:val="BasicParagraph"/>
        <w:spacing w:before="120" w:after="120"/>
        <w:jc w:val="center"/>
        <w:rPr>
          <w:rFonts w:ascii="Georgia" w:hAnsi="Georgia" w:cs="Georgia"/>
          <w:sz w:val="22"/>
          <w:szCs w:val="22"/>
        </w:rPr>
      </w:pPr>
      <w:r>
        <w:rPr>
          <w:rFonts w:ascii="Georgia" w:hAnsi="Georgia" w:cs="Georgia"/>
          <w:sz w:val="22"/>
          <w:szCs w:val="22"/>
        </w:rPr>
        <w:t>Robert K. Lewis</w:t>
      </w:r>
    </w:p>
    <w:p w14:paraId="21F65C5E" w14:textId="77777777" w:rsidR="003D1A2C" w:rsidRDefault="003D1A2C" w:rsidP="003D1A2C">
      <w:pPr>
        <w:pStyle w:val="BasicParagraph"/>
        <w:spacing w:before="120" w:after="120"/>
        <w:jc w:val="center"/>
        <w:rPr>
          <w:rFonts w:ascii="Georgia" w:hAnsi="Georgia" w:cs="Georgia"/>
          <w:sz w:val="22"/>
          <w:szCs w:val="22"/>
        </w:rPr>
      </w:pPr>
      <w:r>
        <w:rPr>
          <w:rFonts w:ascii="Georgia" w:hAnsi="Georgia" w:cs="Georgia"/>
          <w:sz w:val="22"/>
          <w:szCs w:val="22"/>
        </w:rPr>
        <w:t>Department of Math, Science and Technology, Teachers College, Columbia University</w:t>
      </w:r>
    </w:p>
    <w:p w14:paraId="03424583" w14:textId="77777777" w:rsidR="003D1A2C" w:rsidRDefault="003D1A2C" w:rsidP="003D1A2C">
      <w:pPr>
        <w:pStyle w:val="BasicParagraph"/>
        <w:spacing w:before="120" w:after="120"/>
        <w:jc w:val="center"/>
        <w:rPr>
          <w:rFonts w:ascii="Georgia" w:hAnsi="Georgia" w:cs="Georgia"/>
          <w:sz w:val="22"/>
          <w:szCs w:val="22"/>
        </w:rPr>
      </w:pPr>
      <w:r>
        <w:rPr>
          <w:rFonts w:ascii="Georgia" w:hAnsi="Georgia" w:cs="Georgia"/>
          <w:sz w:val="22"/>
          <w:szCs w:val="22"/>
        </w:rPr>
        <w:t>MSTU 4020: Social and Communicative Aspects of the Internet</w:t>
      </w:r>
    </w:p>
    <w:p w14:paraId="20717162" w14:textId="77777777" w:rsidR="003D1A2C" w:rsidRDefault="003D1A2C" w:rsidP="003D1A2C">
      <w:pPr>
        <w:pStyle w:val="BasicParagraph"/>
        <w:spacing w:before="120" w:after="120"/>
        <w:jc w:val="center"/>
        <w:rPr>
          <w:rFonts w:ascii="Georgia" w:hAnsi="Georgia" w:cs="Georgia"/>
          <w:sz w:val="22"/>
          <w:szCs w:val="22"/>
        </w:rPr>
      </w:pPr>
      <w:r>
        <w:rPr>
          <w:rFonts w:ascii="Georgia" w:hAnsi="Georgia" w:cs="Georgia"/>
          <w:sz w:val="22"/>
          <w:szCs w:val="22"/>
        </w:rPr>
        <w:t>Kristin Gorski</w:t>
      </w:r>
    </w:p>
    <w:p w14:paraId="3B177853" w14:textId="77777777" w:rsidR="003D1A2C" w:rsidRDefault="003D1A2C" w:rsidP="003D1A2C">
      <w:pPr>
        <w:pStyle w:val="BasicParagraph"/>
        <w:spacing w:before="120" w:after="120"/>
        <w:jc w:val="center"/>
        <w:rPr>
          <w:rFonts w:ascii="Georgia" w:hAnsi="Georgia" w:cs="Georgia"/>
          <w:sz w:val="22"/>
          <w:szCs w:val="22"/>
        </w:rPr>
      </w:pPr>
      <w:r>
        <w:rPr>
          <w:rFonts w:ascii="Georgia" w:hAnsi="Georgia" w:cs="Georgia"/>
          <w:sz w:val="22"/>
          <w:szCs w:val="22"/>
        </w:rPr>
        <w:t>12/23/2022</w:t>
      </w:r>
    </w:p>
    <w:p w14:paraId="0E6FC9B8" w14:textId="77777777" w:rsidR="003D1A2C" w:rsidRDefault="003D1A2C" w:rsidP="003D1A2C">
      <w:pPr>
        <w:pStyle w:val="BasicParagraph"/>
        <w:spacing w:before="120" w:after="120"/>
        <w:jc w:val="center"/>
        <w:rPr>
          <w:rFonts w:ascii="Georgia" w:hAnsi="Georgia" w:cs="Georgia"/>
          <w:sz w:val="22"/>
          <w:szCs w:val="22"/>
        </w:rPr>
      </w:pPr>
    </w:p>
    <w:p w14:paraId="5ADF5B75" w14:textId="77777777" w:rsidR="003D1A2C" w:rsidRDefault="003D1A2C">
      <w:pPr>
        <w:sectPr w:rsidR="003D1A2C" w:rsidSect="003D1A2C">
          <w:pgSz w:w="12240" w:h="15840"/>
          <w:pgMar w:top="1440" w:right="1440" w:bottom="1440" w:left="1440" w:header="720" w:footer="720" w:gutter="0"/>
          <w:cols w:space="720"/>
          <w:noEndnote/>
        </w:sectPr>
      </w:pPr>
    </w:p>
    <w:p w14:paraId="4BDEF3FC"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b/>
          <w:bCs/>
          <w:color w:val="000000"/>
          <w:lang w:val="en-GB"/>
        </w:rPr>
        <w:lastRenderedPageBreak/>
        <w:t>Introduction/Limitations</w:t>
      </w:r>
    </w:p>
    <w:p w14:paraId="4342E50F"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This was my first attempt at CMLTD to pursue my vision quest (VQ, Appendix A).  When I close my eyes, I see it so clearly, speaking words about it, I am mute.  I don’t think there’s even a word for it yet, something like IMX, Instructor Management Experience.  A year ago, when I deliberated about my goals while matriculating at CMLTD, up front in my mind was simply discovering a vocabulary for what I could see in my mind’s eye, that I could use to converse with others with similar interests.  Digging up the booty in a class about social ICTs seemed a logical manifest to accept when plotting my courses.</w:t>
      </w:r>
    </w:p>
    <w:p w14:paraId="785A5A78"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The only verbalization crossing my bow in my research for this paper was an observation, almost an afterthought, that LMS customization would make technology acceptance easier for novice online educators, gradually plugging in and adding on to their backend as they get more proficient with the technology.  But then, alas, the motif for this paper, “to our knowledge, no research has been conducted on designing customizable LMSs.”  (</w:t>
      </w:r>
      <w:proofErr w:type="spellStart"/>
      <w:r w:rsidRPr="003D1A2C">
        <w:rPr>
          <w:rFonts w:ascii="Georgia" w:hAnsi="Georgia" w:cs="Georgia"/>
          <w:color w:val="000000"/>
          <w:lang w:val="en-GB"/>
        </w:rPr>
        <w:t>Dindar</w:t>
      </w:r>
      <w:proofErr w:type="spellEnd"/>
      <w:r w:rsidRPr="003D1A2C">
        <w:rPr>
          <w:rFonts w:ascii="Georgia" w:hAnsi="Georgia" w:cs="Georgia"/>
          <w:color w:val="000000"/>
          <w:lang w:val="en-GB"/>
        </w:rPr>
        <w:t>, 2021).</w:t>
      </w:r>
    </w:p>
    <w:p w14:paraId="3D4DAE9F"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LMS is my number one search term (Appendix B).  I failed to discover even one article about educators running data analytics on the backend of their platform.  And my VQ isn’t even about data analytics.  It’s not about text either, it’s a different kind of expression, one I experimented with in icts4ludd.  Nonlinear, personal meaning.  In 2021, as I began developing similar modalities for my students that I would upload to my LMS, and then, this year, with my return to the classroom, project on the wall (my first slide on 12/13), this mode of expression is social as well.  But what mode is it, and why are my students and I </w:t>
      </w:r>
      <w:proofErr w:type="spellStart"/>
      <w:r w:rsidRPr="003D1A2C">
        <w:rPr>
          <w:rFonts w:ascii="Georgia" w:hAnsi="Georgia" w:cs="Georgia"/>
          <w:color w:val="000000"/>
          <w:lang w:val="en-GB"/>
        </w:rPr>
        <w:t>drawn</w:t>
      </w:r>
      <w:proofErr w:type="spellEnd"/>
      <w:r w:rsidRPr="003D1A2C">
        <w:rPr>
          <w:rFonts w:ascii="Georgia" w:hAnsi="Georgia" w:cs="Georgia"/>
          <w:color w:val="000000"/>
          <w:lang w:val="en-GB"/>
        </w:rPr>
        <w:t xml:space="preserve"> to it?  </w:t>
      </w:r>
    </w:p>
    <w:p w14:paraId="6830DB82"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Until three years ago, I never saw my vision quest.  Then, 1.5 billion students lost access to their education.  (UNESCO, retrieved Dec. 21, 2022).  We barely can fathom the number of Pandemic </w:t>
      </w:r>
      <w:proofErr w:type="gramStart"/>
      <w:r w:rsidRPr="003D1A2C">
        <w:rPr>
          <w:rFonts w:ascii="Georgia" w:hAnsi="Georgia" w:cs="Georgia"/>
          <w:color w:val="000000"/>
          <w:lang w:val="en-GB"/>
        </w:rPr>
        <w:t>deaths,</w:t>
      </w:r>
      <w:proofErr w:type="gramEnd"/>
      <w:r w:rsidRPr="003D1A2C">
        <w:rPr>
          <w:rFonts w:ascii="Georgia" w:hAnsi="Georgia" w:cs="Georgia"/>
          <w:color w:val="000000"/>
          <w:lang w:val="en-GB"/>
        </w:rPr>
        <w:t xml:space="preserve"> I don’t think we have the cognitive capacity to consider how badly learners’ </w:t>
      </w:r>
      <w:r w:rsidRPr="003D1A2C">
        <w:rPr>
          <w:rFonts w:ascii="Georgia" w:hAnsi="Georgia" w:cs="Georgia"/>
          <w:color w:val="000000"/>
          <w:lang w:val="en-GB"/>
        </w:rPr>
        <w:lastRenderedPageBreak/>
        <w:t xml:space="preserve">expectations were damaged concerning online learning during the Pause.   Transitioning from </w:t>
      </w:r>
      <w:proofErr w:type="spellStart"/>
      <w:r w:rsidRPr="003D1A2C">
        <w:rPr>
          <w:rFonts w:ascii="Georgia" w:hAnsi="Georgia" w:cs="Georgia"/>
          <w:color w:val="000000"/>
          <w:lang w:val="en-GB"/>
        </w:rPr>
        <w:t>from</w:t>
      </w:r>
      <w:proofErr w:type="spellEnd"/>
      <w:r w:rsidRPr="003D1A2C">
        <w:rPr>
          <w:rFonts w:ascii="Georgia" w:hAnsi="Georgia" w:cs="Georgia"/>
          <w:color w:val="000000"/>
          <w:lang w:val="en-GB"/>
        </w:rPr>
        <w:t xml:space="preserve"> in class to distance education requires valuing how successful learning occurs, and making institutional planning and support in long-term, meaningful ways.  (Berge, 2007).  When designing online courses, much more upfront planning and preparation is required, compared to an in-person course.  (</w:t>
      </w:r>
      <w:proofErr w:type="spellStart"/>
      <w:r w:rsidRPr="003D1A2C">
        <w:rPr>
          <w:rFonts w:ascii="Georgia" w:hAnsi="Georgia" w:cs="Georgia"/>
          <w:color w:val="000000"/>
          <w:lang w:val="en-GB"/>
        </w:rPr>
        <w:t>Rovai</w:t>
      </w:r>
      <w:proofErr w:type="spellEnd"/>
      <w:r w:rsidRPr="003D1A2C">
        <w:rPr>
          <w:rFonts w:ascii="Georgia" w:hAnsi="Georgia" w:cs="Georgia"/>
          <w:color w:val="000000"/>
          <w:lang w:val="en-GB"/>
        </w:rPr>
        <w:t xml:space="preserve"> &amp; Downey, 2010).  Instead, where I work, and many other learning institutions I suspect, the subsequent emergency patch jobs were little more than uploaded didactic approaches.  (</w:t>
      </w:r>
      <w:proofErr w:type="spellStart"/>
      <w:r w:rsidRPr="003D1A2C">
        <w:rPr>
          <w:rFonts w:ascii="Georgia" w:hAnsi="Georgia" w:cs="Georgia"/>
          <w:color w:val="000000"/>
          <w:lang w:val="en-GB"/>
        </w:rPr>
        <w:t>Zanjani</w:t>
      </w:r>
      <w:proofErr w:type="spellEnd"/>
      <w:r w:rsidRPr="003D1A2C">
        <w:rPr>
          <w:rFonts w:ascii="Georgia" w:hAnsi="Georgia" w:cs="Georgia"/>
          <w:color w:val="000000"/>
          <w:lang w:val="en-GB"/>
        </w:rPr>
        <w:t xml:space="preserve"> et al., 2017).  </w:t>
      </w:r>
    </w:p>
    <w:p w14:paraId="3561EA96"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If an educator must transition from one pedagogic modality to another, it will be guided by the educational subjectivities each teacher chooses for themselves as they travel their career path.  (Saltmarsh &amp; Sutherland-Smith, 2010).  That’s not what happened during 2020 for most educators, for me, it was the beginning of my vision quest.</w:t>
      </w:r>
    </w:p>
    <w:p w14:paraId="0871469A"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Simply put, many students considered online learning an unpleasant experience when facing emergency remote classes. (Aguilera-</w:t>
      </w:r>
      <w:proofErr w:type="spellStart"/>
      <w:r w:rsidRPr="003D1A2C">
        <w:rPr>
          <w:rFonts w:ascii="Georgia" w:hAnsi="Georgia" w:cs="Georgia"/>
          <w:color w:val="000000"/>
          <w:lang w:val="en-GB"/>
        </w:rPr>
        <w:t>Hermida</w:t>
      </w:r>
      <w:proofErr w:type="spellEnd"/>
      <w:r w:rsidRPr="003D1A2C">
        <w:rPr>
          <w:rFonts w:ascii="Georgia" w:hAnsi="Georgia" w:cs="Georgia"/>
          <w:color w:val="000000"/>
          <w:lang w:val="en-GB"/>
        </w:rPr>
        <w:t>, 2020), or even worse, boring.   At least partially, these bad feelings were conveyed by teachers teaching online, for the first time.  A teacher’s experience with technology will invariable be experienced by his/her students as well, so as the transition to online teaching during COVID was troubling for teachers, so it was for students as well.</w:t>
      </w:r>
    </w:p>
    <w:p w14:paraId="7CAE27B5"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I write this all upfront, because the most direct way into researching my RQ for this class about social ICTs would be something like this: how can learners enjoy sharing their knowledge and experiences across social ICTs?</w:t>
      </w:r>
    </w:p>
    <w:p w14:paraId="40363993"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Beginning with personal experiences in my three classes this semester, there was a uniform voice from my professors to use social ICTs to continue networking with fellow students.  The uniform response was as bleak as my research.  I did uncover some articles proposing why the dearth of responses.  A Moodle survey found that chatting and messaging </w:t>
      </w:r>
      <w:r w:rsidRPr="003D1A2C">
        <w:rPr>
          <w:rFonts w:ascii="Georgia" w:hAnsi="Georgia" w:cs="Georgia"/>
          <w:color w:val="000000"/>
          <w:lang w:val="en-GB"/>
        </w:rPr>
        <w:lastRenderedPageBreak/>
        <w:t xml:space="preserve">functions were not used, perhaps because students only use LMS for “academic purposes.”  (Raman &amp; Don, 2013, p. 163.)  I think it reasonably follows that there had to be an uptick in using social ICTs during the Pause, but given the chaotic rollout of online education, learners trained their spyglasses in other vectors when searching for virtual connectivity.  The fact that many CMLTD students use Slack, rather than the communication features in Canvas, supports my assertion.  </w:t>
      </w:r>
    </w:p>
    <w:p w14:paraId="7B4B88C0"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During the migration from manila folders to digital files, teachers, myself included, had difficulty not falling back on easier, didactic exercises that run counter to the pedagogies we are all committed to.  Instead of offering our students freedom of thought and exploration online, we were condemning ourselves to the “banking model,” 2.0.  (Farag et al., 2022). </w:t>
      </w:r>
    </w:p>
    <w:p w14:paraId="1BCA317A" w14:textId="77777777" w:rsidR="003D1A2C" w:rsidRPr="003D1A2C" w:rsidRDefault="003D1A2C" w:rsidP="003D1A2C">
      <w:pPr>
        <w:autoSpaceDE w:val="0"/>
        <w:autoSpaceDN w:val="0"/>
        <w:adjustRightInd w:val="0"/>
        <w:spacing w:after="0" w:line="240" w:lineRule="auto"/>
        <w:ind w:left="720" w:right="720"/>
        <w:textAlignment w:val="center"/>
        <w:rPr>
          <w:rFonts w:ascii="Georgia" w:hAnsi="Georgia" w:cs="Georgia"/>
          <w:color w:val="000000"/>
          <w:lang w:val="en-GB"/>
        </w:rPr>
      </w:pPr>
      <w:r w:rsidRPr="003D1A2C">
        <w:rPr>
          <w:rFonts w:ascii="Georgia" w:hAnsi="Georgia" w:cs="Georgia"/>
          <w:color w:val="000000"/>
          <w:lang w:val="en-GB"/>
        </w:rPr>
        <w:br/>
        <w:t xml:space="preserve">However, the results showed that when the students use SNs, they don’t feel comfortable and enthusiastic because they think that they are monitored by the faculty members which, in turn, urge students to avoid using them for </w:t>
      </w:r>
      <w:proofErr w:type="spellStart"/>
      <w:r w:rsidRPr="003D1A2C">
        <w:rPr>
          <w:rFonts w:ascii="Georgia" w:hAnsi="Georgia" w:cs="Georgia"/>
          <w:color w:val="000000"/>
          <w:lang w:val="en-GB"/>
        </w:rPr>
        <w:t>educatiocal</w:t>
      </w:r>
      <w:proofErr w:type="spellEnd"/>
      <w:r w:rsidRPr="003D1A2C">
        <w:rPr>
          <w:rFonts w:ascii="Georgia" w:hAnsi="Georgia" w:cs="Georgia"/>
          <w:color w:val="000000"/>
          <w:lang w:val="en-GB"/>
        </w:rPr>
        <w:t xml:space="preserve"> purposes.  (</w:t>
      </w:r>
      <w:proofErr w:type="spellStart"/>
      <w:r w:rsidRPr="003D1A2C">
        <w:rPr>
          <w:rFonts w:ascii="Georgia" w:hAnsi="Georgia" w:cs="Georgia"/>
          <w:color w:val="000000"/>
          <w:lang w:val="en-GB"/>
        </w:rPr>
        <w:t>Gharrah</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Aljaafreh</w:t>
      </w:r>
      <w:proofErr w:type="spellEnd"/>
      <w:r w:rsidRPr="003D1A2C">
        <w:rPr>
          <w:rFonts w:ascii="Georgia" w:hAnsi="Georgia" w:cs="Georgia"/>
          <w:color w:val="000000"/>
          <w:lang w:val="en-GB"/>
        </w:rPr>
        <w:t>, 2021, p. 62).</w:t>
      </w:r>
    </w:p>
    <w:p w14:paraId="36D8D563"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The positive experiences I experienced while couped up in my little studio in 2020 were not common to most learners’ experiences.  Through my research, I became much more conscious of the obstacles educators now face trying to retack our LMS towards better trade winds.  Moving forward, we are not starting from ground zero, we’re closer to being behind the eight ball, addressing prior learning experiences that create negative expectations for online learning.</w:t>
      </w:r>
    </w:p>
    <w:p w14:paraId="377EF60E"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Back to my VQ, surveying the first touchstone I discovered, it quickly was mapped out to be limited as well.  Teachers won’t pick up a new technology for their classroom if they see it as just another technology, just another task we’re expected to perform.  Instead, teachers’ technology acceptance is a “complex construct,” that requires aligning an LMS to a teacher’s pedagogies.  (Scherer &amp; Teo, 2019, p. 90).  The TAM/UTAUT models described below mimic these </w:t>
      </w:r>
      <w:proofErr w:type="gramStart"/>
      <w:r w:rsidRPr="003D1A2C">
        <w:rPr>
          <w:rFonts w:ascii="Georgia" w:hAnsi="Georgia" w:cs="Georgia"/>
          <w:color w:val="000000"/>
          <w:lang w:val="en-GB"/>
        </w:rPr>
        <w:t>constructs, and</w:t>
      </w:r>
      <w:proofErr w:type="gramEnd"/>
      <w:r w:rsidRPr="003D1A2C">
        <w:rPr>
          <w:rFonts w:ascii="Georgia" w:hAnsi="Georgia" w:cs="Georgia"/>
          <w:color w:val="000000"/>
          <w:lang w:val="en-GB"/>
        </w:rPr>
        <w:t xml:space="preserve"> are well researched and studied in many areas of study, including </w:t>
      </w:r>
      <w:r w:rsidRPr="003D1A2C">
        <w:rPr>
          <w:rFonts w:ascii="Georgia" w:hAnsi="Georgia" w:cs="Georgia"/>
          <w:color w:val="000000"/>
          <w:lang w:val="en-GB"/>
        </w:rPr>
        <w:lastRenderedPageBreak/>
        <w:t>students’ acceptance of LMS.  But, back to our old motif, the research does not extend to educators.  (Appendix C).</w:t>
      </w:r>
    </w:p>
    <w:p w14:paraId="1CB24EAE"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An outline that references gaps, not content, of a research question, an abstract about nothing, while a good plot for a Seinfeld episode, drove me to the corners of my map, there and back again, many times, without finding much coastline to anchor near.  It means unlike probably everyone else’s research in this class, which would be here, compiling the 40 points, for me, must be relegated to Appendices, as lack of evidence.</w:t>
      </w:r>
    </w:p>
    <w:p w14:paraId="7F8129A5"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I tried formulating a variety of expressions for my research question, all to no avail.  The current one offers as little satisfaction as prior iterations.</w:t>
      </w:r>
    </w:p>
    <w:p w14:paraId="1927A73D"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b/>
          <w:bCs/>
          <w:color w:val="000000"/>
          <w:lang w:val="en-GB"/>
        </w:rPr>
        <w:t>RQ:</w:t>
      </w:r>
      <w:r w:rsidRPr="003D1A2C">
        <w:rPr>
          <w:rFonts w:ascii="Georgia" w:hAnsi="Georgia" w:cs="Georgia"/>
          <w:color w:val="000000"/>
          <w:lang w:val="en-GB"/>
        </w:rPr>
        <w:t xml:space="preserve"> How can educators enjoy using an LMS in their classrooms?</w:t>
      </w:r>
    </w:p>
    <w:p w14:paraId="21479239"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b/>
          <w:bCs/>
          <w:color w:val="000000"/>
          <w:lang w:val="en-GB"/>
        </w:rPr>
        <w:t>Literature Review</w:t>
      </w:r>
    </w:p>
    <w:p w14:paraId="51C15DFC" w14:textId="5621E8BF"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A good launching point is to consider that when an educator clicks a LMS button, s/he intends to interact with his/her students.  If an educator is reduced to clicking a next slide button and read off another bulleted list, LMS use isn’t going to work.  Instead, if instructors can use a LMS to better interact with their students, the more satisfied they will be.  (</w:t>
      </w:r>
      <w:proofErr w:type="spellStart"/>
      <w:r w:rsidRPr="003D1A2C">
        <w:rPr>
          <w:rFonts w:ascii="Georgia" w:hAnsi="Georgia" w:cs="Georgia"/>
          <w:color w:val="000000"/>
          <w:lang w:val="en-GB"/>
        </w:rPr>
        <w:t>Wasilik</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Bolliger</w:t>
      </w:r>
      <w:proofErr w:type="spellEnd"/>
      <w:r w:rsidRPr="003D1A2C">
        <w:rPr>
          <w:rFonts w:ascii="Georgia" w:hAnsi="Georgia" w:cs="Georgia"/>
          <w:color w:val="000000"/>
          <w:lang w:val="en-GB"/>
        </w:rPr>
        <w:t xml:space="preserve">, 2009). </w:t>
      </w:r>
      <w:r w:rsidRPr="003D1A2C">
        <w:rPr>
          <w:rFonts w:ascii="Georgia" w:hAnsi="Georgia" w:cs="Georgia"/>
          <w:color w:val="000000"/>
          <w:lang w:val="en-GB"/>
        </w:rPr>
        <w:br/>
      </w:r>
      <w:r w:rsidRPr="003D1A2C">
        <w:rPr>
          <w:rFonts w:ascii="Georgia" w:hAnsi="Georgia" w:cs="Georgia"/>
          <w:i/>
          <w:iCs/>
          <w:color w:val="000000"/>
          <w:lang w:val="en-GB"/>
        </w:rPr>
        <w:t>Technology Acceptance Model</w:t>
      </w:r>
    </w:p>
    <w:p w14:paraId="023F7F1E"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TAM (Appendix D, Figure 1) is considered the key model in understanding how people choose or reject technologies.  (</w:t>
      </w:r>
      <w:proofErr w:type="spellStart"/>
      <w:r w:rsidRPr="003D1A2C">
        <w:rPr>
          <w:rFonts w:ascii="Georgia" w:hAnsi="Georgia" w:cs="Georgia"/>
          <w:color w:val="000000"/>
          <w:lang w:val="en-GB"/>
        </w:rPr>
        <w:t>Marangunić</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Granić</w:t>
      </w:r>
      <w:proofErr w:type="spellEnd"/>
      <w:r w:rsidRPr="003D1A2C">
        <w:rPr>
          <w:rFonts w:ascii="Georgia" w:hAnsi="Georgia" w:cs="Georgia"/>
          <w:color w:val="000000"/>
          <w:lang w:val="en-GB"/>
        </w:rPr>
        <w:t xml:space="preserve">, 2015).  As its creators noted, no matter how well a technology is designed, it’s meaningless if it’s not used.  (Davis et al., 1989).  This is an </w:t>
      </w:r>
      <w:proofErr w:type="gramStart"/>
      <w:r w:rsidRPr="003D1A2C">
        <w:rPr>
          <w:rFonts w:ascii="Georgia" w:hAnsi="Georgia" w:cs="Georgia"/>
          <w:color w:val="000000"/>
          <w:lang w:val="en-GB"/>
        </w:rPr>
        <w:t>important criteria</w:t>
      </w:r>
      <w:proofErr w:type="gramEnd"/>
      <w:r w:rsidRPr="003D1A2C">
        <w:rPr>
          <w:rFonts w:ascii="Georgia" w:hAnsi="Georgia" w:cs="Georgia"/>
          <w:color w:val="000000"/>
          <w:lang w:val="en-GB"/>
        </w:rPr>
        <w:t xml:space="preserve"> because teacher “buy-in” to using an LMS requires us perceiving the technology as a support, rather than a replacement, to teaching.  (Walker et al., 2016).</w:t>
      </w:r>
    </w:p>
    <w:p w14:paraId="58FC4AF5"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Although TAM is a good reference point to consider, and extensive literature reviews exist, (Appendix E), in a study of 2399 articles, its most common applications have been with </w:t>
      </w:r>
      <w:r w:rsidRPr="003D1A2C">
        <w:rPr>
          <w:rFonts w:ascii="Georgia" w:hAnsi="Georgia" w:cs="Georgia"/>
          <w:color w:val="000000"/>
          <w:lang w:val="en-GB"/>
        </w:rPr>
        <w:lastRenderedPageBreak/>
        <w:t xml:space="preserve">students and customers.  (Al-Emran &amp; </w:t>
      </w:r>
      <w:proofErr w:type="spellStart"/>
      <w:r w:rsidRPr="003D1A2C">
        <w:rPr>
          <w:rFonts w:ascii="Georgia" w:hAnsi="Georgia" w:cs="Georgia"/>
          <w:color w:val="000000"/>
          <w:lang w:val="en-GB"/>
        </w:rPr>
        <w:t>Granić</w:t>
      </w:r>
      <w:proofErr w:type="spellEnd"/>
      <w:r w:rsidRPr="003D1A2C">
        <w:rPr>
          <w:rFonts w:ascii="Georgia" w:hAnsi="Georgia" w:cs="Georgia"/>
          <w:color w:val="000000"/>
          <w:lang w:val="en-GB"/>
        </w:rPr>
        <w:t xml:space="preserve">, 2021).  The fact that the model has not been extensively used to examine teachers’ LMS use </w:t>
      </w:r>
      <w:proofErr w:type="spellStart"/>
      <w:r w:rsidRPr="003D1A2C">
        <w:rPr>
          <w:rFonts w:ascii="Georgia" w:hAnsi="Georgia" w:cs="Georgia"/>
          <w:color w:val="000000"/>
          <w:lang w:val="en-GB"/>
        </w:rPr>
        <w:t>warrents</w:t>
      </w:r>
      <w:proofErr w:type="spellEnd"/>
      <w:r w:rsidRPr="003D1A2C">
        <w:rPr>
          <w:rFonts w:ascii="Georgia" w:hAnsi="Georgia" w:cs="Georgia"/>
          <w:color w:val="000000"/>
          <w:lang w:val="en-GB"/>
        </w:rPr>
        <w:t xml:space="preserve"> a further refinement on aligning a technology acceptance model to describing my 2020 emergency remote teaching experiences.   Additionally, TAM has been criticized for a lack of organisational and social factor variables.  (</w:t>
      </w:r>
      <w:proofErr w:type="spellStart"/>
      <w:r w:rsidRPr="003D1A2C">
        <w:rPr>
          <w:rFonts w:ascii="Georgia" w:hAnsi="Georgia" w:cs="Georgia"/>
          <w:color w:val="000000"/>
          <w:lang w:val="en-GB"/>
        </w:rPr>
        <w:t>Legris</w:t>
      </w:r>
      <w:proofErr w:type="spellEnd"/>
      <w:r w:rsidRPr="003D1A2C">
        <w:rPr>
          <w:rFonts w:ascii="Georgia" w:hAnsi="Georgia" w:cs="Georgia"/>
          <w:color w:val="000000"/>
          <w:lang w:val="en-GB"/>
        </w:rPr>
        <w:t xml:space="preserve"> et al., 2003).  Given my VQ has to with personal enjoyment, and not efficiency, my research must include more than just a use analysis</w:t>
      </w:r>
    </w:p>
    <w:p w14:paraId="61D48786"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i/>
          <w:iCs/>
          <w:color w:val="000000"/>
          <w:lang w:val="en-GB"/>
        </w:rPr>
        <w:t>Unified Theory of Acceptance and Use of Technology &amp; Hedonic Motivation</w:t>
      </w:r>
    </w:p>
    <w:p w14:paraId="31600D73"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UTAUT is a model that includes </w:t>
      </w:r>
      <w:proofErr w:type="spellStart"/>
      <w:r w:rsidRPr="003D1A2C">
        <w:rPr>
          <w:rFonts w:ascii="Georgia" w:hAnsi="Georgia" w:cs="Georgia"/>
          <w:color w:val="000000"/>
          <w:lang w:val="en-GB"/>
        </w:rPr>
        <w:t>behavior</w:t>
      </w:r>
      <w:proofErr w:type="spellEnd"/>
      <w:r w:rsidRPr="003D1A2C">
        <w:rPr>
          <w:rFonts w:ascii="Georgia" w:hAnsi="Georgia" w:cs="Georgia"/>
          <w:color w:val="000000"/>
          <w:lang w:val="en-GB"/>
        </w:rPr>
        <w:t xml:space="preserve"> constructs that influence using </w:t>
      </w:r>
      <w:proofErr w:type="gramStart"/>
      <w:r w:rsidRPr="003D1A2C">
        <w:rPr>
          <w:rFonts w:ascii="Georgia" w:hAnsi="Georgia" w:cs="Georgia"/>
          <w:color w:val="000000"/>
          <w:lang w:val="en-GB"/>
        </w:rPr>
        <w:t>a</w:t>
      </w:r>
      <w:proofErr w:type="gramEnd"/>
      <w:r w:rsidRPr="003D1A2C">
        <w:rPr>
          <w:rFonts w:ascii="Georgia" w:hAnsi="Georgia" w:cs="Georgia"/>
          <w:color w:val="000000"/>
          <w:lang w:val="en-GB"/>
        </w:rPr>
        <w:t xml:space="preserve"> LMS, (Venkatesh et al., 2003).  But what I am looking for is closer to Version 2 (Appendix D), which adds another construct: hedonic motivation (HM).  Not surprisingly, it was originally conceived </w:t>
      </w:r>
      <w:proofErr w:type="gramStart"/>
      <w:r w:rsidRPr="003D1A2C">
        <w:rPr>
          <w:rFonts w:ascii="Georgia" w:hAnsi="Georgia" w:cs="Georgia"/>
          <w:color w:val="000000"/>
          <w:lang w:val="en-GB"/>
        </w:rPr>
        <w:t>as a way to</w:t>
      </w:r>
      <w:proofErr w:type="gramEnd"/>
      <w:r w:rsidRPr="003D1A2C">
        <w:rPr>
          <w:rFonts w:ascii="Georgia" w:hAnsi="Georgia" w:cs="Georgia"/>
          <w:color w:val="000000"/>
          <w:lang w:val="en-GB"/>
        </w:rPr>
        <w:t xml:space="preserve"> better understand consumers’ use of technology, (Venkatesh et al., 2012), and in terms of LMS use, little research </w:t>
      </w:r>
      <w:r w:rsidRPr="003D1A2C">
        <w:rPr>
          <w:rFonts w:ascii="Georgia" w:hAnsi="Georgia" w:cs="Georgia"/>
          <w:i/>
          <w:iCs/>
          <w:color w:val="000000"/>
          <w:lang w:val="en-GB"/>
        </w:rPr>
        <w:t>on teachers</w:t>
      </w:r>
      <w:r w:rsidRPr="003D1A2C">
        <w:rPr>
          <w:rFonts w:ascii="Georgia" w:hAnsi="Georgia" w:cs="Georgia"/>
          <w:color w:val="000000"/>
          <w:lang w:val="en-GB"/>
        </w:rPr>
        <w:t xml:space="preserve"> has been done.   (Kaushik &amp; Verma, 2020).  But at the very least, I now possess some vocabulary to begin searching for relevant articles.  </w:t>
      </w:r>
    </w:p>
    <w:p w14:paraId="4CF0D296"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The following table summarizes some examples of student HM for LMS use:</w:t>
      </w:r>
    </w:p>
    <w:p w14:paraId="4DCBAE37"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2330"/>
        <w:gridCol w:w="2700"/>
        <w:gridCol w:w="4310"/>
      </w:tblGrid>
      <w:tr w:rsidR="003D1A2C" w:rsidRPr="003D1A2C" w14:paraId="7A971F51" w14:textId="77777777">
        <w:trPr>
          <w:trHeight w:val="60"/>
          <w:tblHeader/>
        </w:trPr>
        <w:tc>
          <w:tcPr>
            <w:tcW w:w="23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E75923"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Reference</w:t>
            </w:r>
          </w:p>
        </w:tc>
        <w:tc>
          <w:tcPr>
            <w:tcW w:w="2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534F6E"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Population</w:t>
            </w:r>
          </w:p>
        </w:tc>
        <w:tc>
          <w:tcPr>
            <w:tcW w:w="4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1B2640"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Findings</w:t>
            </w:r>
          </w:p>
        </w:tc>
      </w:tr>
      <w:tr w:rsidR="003D1A2C" w:rsidRPr="003D1A2C" w14:paraId="08B930CE" w14:textId="77777777">
        <w:trPr>
          <w:trHeight w:val="60"/>
        </w:trPr>
        <w:tc>
          <w:tcPr>
            <w:tcW w:w="23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95DDD"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Raman &amp; Don, 2013</w:t>
            </w:r>
          </w:p>
        </w:tc>
        <w:tc>
          <w:tcPr>
            <w:tcW w:w="2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B2AF71"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320 undergraduates using Moodle</w:t>
            </w:r>
          </w:p>
        </w:tc>
        <w:tc>
          <w:tcPr>
            <w:tcW w:w="4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158D2"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HM positively influences LMS use</w:t>
            </w:r>
          </w:p>
        </w:tc>
      </w:tr>
      <w:tr w:rsidR="003D1A2C" w:rsidRPr="003D1A2C" w14:paraId="2957DB2B" w14:textId="77777777">
        <w:trPr>
          <w:trHeight w:val="60"/>
        </w:trPr>
        <w:tc>
          <w:tcPr>
            <w:tcW w:w="23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921160"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Martínez-Gómez et al., 2022</w:t>
            </w:r>
          </w:p>
        </w:tc>
        <w:tc>
          <w:tcPr>
            <w:tcW w:w="2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B165BC"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217 high school students</w:t>
            </w:r>
          </w:p>
        </w:tc>
        <w:tc>
          <w:tcPr>
            <w:tcW w:w="4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98ADFF"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perceived enjoyment are determinants of student satisfaction</w:t>
            </w:r>
          </w:p>
        </w:tc>
      </w:tr>
      <w:tr w:rsidR="003D1A2C" w:rsidRPr="003D1A2C" w14:paraId="2A4951D3" w14:textId="77777777">
        <w:trPr>
          <w:trHeight w:val="60"/>
        </w:trPr>
        <w:tc>
          <w:tcPr>
            <w:tcW w:w="23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7FB7B2"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El-</w:t>
            </w:r>
            <w:proofErr w:type="spellStart"/>
            <w:r w:rsidRPr="003D1A2C">
              <w:rPr>
                <w:rFonts w:ascii="Georgia" w:hAnsi="Georgia" w:cs="Georgia"/>
                <w:color w:val="000000"/>
                <w:lang w:val="en-GB"/>
              </w:rPr>
              <w:t>Masri</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Tarhini</w:t>
            </w:r>
            <w:proofErr w:type="spellEnd"/>
            <w:r w:rsidRPr="003D1A2C">
              <w:rPr>
                <w:rFonts w:ascii="Georgia" w:hAnsi="Georgia" w:cs="Georgia"/>
                <w:color w:val="000000"/>
                <w:lang w:val="en-GB"/>
              </w:rPr>
              <w:t>, 2017</w:t>
            </w:r>
          </w:p>
        </w:tc>
        <w:tc>
          <w:tcPr>
            <w:tcW w:w="27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B6EE8D"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833 university students</w:t>
            </w:r>
          </w:p>
        </w:tc>
        <w:tc>
          <w:tcPr>
            <w:tcW w:w="4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EA4442"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HM had a positive significant effect on adoption of e-learning systems</w:t>
            </w:r>
          </w:p>
        </w:tc>
      </w:tr>
    </w:tbl>
    <w:p w14:paraId="76B1C823"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
    <w:p w14:paraId="1D57DD2E"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lastRenderedPageBreak/>
        <w:t>And yet, when the question turns to the relationship between HM and social ICT use, negative results arose from a survey of 42 higher education instructors.  (Lewis et al., 2013).  Another study concluded that faculty and educational stakeholders have not provided enough for institutions or encouraged the use of social ICTs.  (</w:t>
      </w:r>
      <w:proofErr w:type="spellStart"/>
      <w:r w:rsidRPr="003D1A2C">
        <w:rPr>
          <w:rFonts w:ascii="Georgia" w:hAnsi="Georgia" w:cs="Georgia"/>
          <w:color w:val="000000"/>
          <w:lang w:val="en-GB"/>
        </w:rPr>
        <w:t>Aburagaga</w:t>
      </w:r>
      <w:proofErr w:type="spellEnd"/>
      <w:r w:rsidRPr="003D1A2C">
        <w:rPr>
          <w:rFonts w:ascii="Georgia" w:hAnsi="Georgia" w:cs="Georgia"/>
          <w:color w:val="000000"/>
          <w:lang w:val="en-GB"/>
        </w:rPr>
        <w:t xml:space="preserve"> et al., 2020</w:t>
      </w:r>
      <w:proofErr w:type="gramStart"/>
      <w:r w:rsidRPr="003D1A2C">
        <w:rPr>
          <w:rFonts w:ascii="Georgia" w:hAnsi="Georgia" w:cs="Georgia"/>
          <w:color w:val="000000"/>
          <w:lang w:val="en-GB"/>
        </w:rPr>
        <w:t>)  And</w:t>
      </w:r>
      <w:proofErr w:type="gramEnd"/>
      <w:r w:rsidRPr="003D1A2C">
        <w:rPr>
          <w:rFonts w:ascii="Georgia" w:hAnsi="Georgia" w:cs="Georgia"/>
          <w:color w:val="000000"/>
          <w:lang w:val="en-GB"/>
        </w:rPr>
        <w:t>, of course, the motif: the authors of a research article believing, rightly so, that their study is to be one of the few attempts made to investigate the impact of social media practices on e-learning systems acceptance. (</w:t>
      </w:r>
      <w:proofErr w:type="spellStart"/>
      <w:r w:rsidRPr="003D1A2C">
        <w:rPr>
          <w:rFonts w:ascii="Georgia" w:hAnsi="Georgia" w:cs="Georgia"/>
          <w:color w:val="000000"/>
          <w:lang w:val="en-GB"/>
        </w:rPr>
        <w:t>Salloum</w:t>
      </w:r>
      <w:proofErr w:type="spellEnd"/>
      <w:r w:rsidRPr="003D1A2C">
        <w:rPr>
          <w:rFonts w:ascii="Georgia" w:hAnsi="Georgia" w:cs="Georgia"/>
          <w:color w:val="000000"/>
          <w:lang w:val="en-GB"/>
        </w:rPr>
        <w:t xml:space="preserve"> et al., 2021)</w:t>
      </w:r>
    </w:p>
    <w:p w14:paraId="4ECCE7EE"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Not surprisingly, in a survey examining the use of Google Apps in collaborative learning, instructors and the use of external mass media had no significant effect on 136 full-time college students’ intentions to use a social ICT. (Cheung &amp; Vogel, 2013).  The most vibrant aspect of my vision quest is how </w:t>
      </w:r>
      <w:proofErr w:type="gramStart"/>
      <w:r w:rsidRPr="003D1A2C">
        <w:rPr>
          <w:rFonts w:ascii="Georgia" w:hAnsi="Georgia" w:cs="Georgia"/>
          <w:color w:val="000000"/>
          <w:lang w:val="en-GB"/>
        </w:rPr>
        <w:t>opening up</w:t>
      </w:r>
      <w:proofErr w:type="gramEnd"/>
      <w:r w:rsidRPr="003D1A2C">
        <w:rPr>
          <w:rFonts w:ascii="Georgia" w:hAnsi="Georgia" w:cs="Georgia"/>
          <w:color w:val="000000"/>
          <w:lang w:val="en-GB"/>
        </w:rPr>
        <w:t xml:space="preserve"> the backend of my WordPress makes me feel, and sharing my enthusiasm with my students, which, I believe, leads to more successful learning experiences.  According to this Google Apps study, my enthusiasm is irrelevant.  Even the word used to describe educators in the article, “lecturer”, conveys an attitude that teachers are just a cog in the machine.  When viewed that way, of course educators will have no impact on a learning experience.</w:t>
      </w:r>
    </w:p>
    <w:p w14:paraId="25EA7479" w14:textId="77777777" w:rsidR="003D1A2C" w:rsidRPr="003D1A2C" w:rsidRDefault="003D1A2C" w:rsidP="003D1A2C">
      <w:pPr>
        <w:autoSpaceDE w:val="0"/>
        <w:autoSpaceDN w:val="0"/>
        <w:adjustRightInd w:val="0"/>
        <w:spacing w:after="0" w:line="528" w:lineRule="atLeast"/>
        <w:textAlignment w:val="center"/>
        <w:rPr>
          <w:rFonts w:ascii="Georgia" w:hAnsi="Georgia" w:cs="Georgia"/>
          <w:i/>
          <w:iCs/>
          <w:color w:val="000000"/>
          <w:lang w:val="en-GB"/>
        </w:rPr>
      </w:pPr>
      <w:r w:rsidRPr="003D1A2C">
        <w:rPr>
          <w:rFonts w:ascii="Georgia" w:hAnsi="Georgia" w:cs="Georgia"/>
          <w:i/>
          <w:iCs/>
          <w:color w:val="000000"/>
          <w:lang w:val="en-GB"/>
        </w:rPr>
        <w:t>Other Antecedent Influences on TAN</w:t>
      </w:r>
    </w:p>
    <w:p w14:paraId="2E8305B9"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Self-efficacy is a subjective variable that is </w:t>
      </w:r>
      <w:proofErr w:type="gramStart"/>
      <w:r w:rsidRPr="003D1A2C">
        <w:rPr>
          <w:rFonts w:ascii="Georgia" w:hAnsi="Georgia" w:cs="Georgia"/>
          <w:color w:val="000000"/>
          <w:lang w:val="en-GB"/>
        </w:rPr>
        <w:t>similar to</w:t>
      </w:r>
      <w:proofErr w:type="gramEnd"/>
      <w:r w:rsidRPr="003D1A2C">
        <w:rPr>
          <w:rFonts w:ascii="Georgia" w:hAnsi="Georgia" w:cs="Georgia"/>
          <w:color w:val="000000"/>
          <w:lang w:val="en-GB"/>
        </w:rPr>
        <w:t xml:space="preserve"> hedonic motivation, but it points to a user’s attitude toward the ability to do a given task, so it is more utilitarian in nature.  Consider the use of open educational resources (OER) items likely to find their way to an LMS.  A study of 128 instructors found if an OER is not easy to use it will not be considered useful and will likely not be used at all even if </w:t>
      </w:r>
      <w:proofErr w:type="gramStart"/>
      <w:r w:rsidRPr="003D1A2C">
        <w:rPr>
          <w:rFonts w:ascii="Georgia" w:hAnsi="Georgia" w:cs="Georgia"/>
          <w:color w:val="000000"/>
          <w:lang w:val="en-GB"/>
        </w:rPr>
        <w:t>the  content</w:t>
      </w:r>
      <w:proofErr w:type="gramEnd"/>
      <w:r w:rsidRPr="003D1A2C">
        <w:rPr>
          <w:rFonts w:ascii="Georgia" w:hAnsi="Georgia" w:cs="Georgia"/>
          <w:color w:val="000000"/>
          <w:lang w:val="en-GB"/>
        </w:rPr>
        <w:t xml:space="preserve">  is  excellent, even if it is free.  (Kelly, 2014).  But self-efficacy is close to my VQ, so perhaps a balance between hedonic motivations and utilitarian skills will help guide educators use an LMS.  (Teo &amp; Noyes, 2011) </w:t>
      </w:r>
    </w:p>
    <w:p w14:paraId="737F53C9"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lastRenderedPageBreak/>
        <w:t xml:space="preserve">Hedonic motivations can be related to some development of semantic taxonomies around the grouping “Attitude and Affect”.  (Kemp et al., 2019, p. 2401 &amp; Appendix D).  The term, “anxiety” is located here as a negative expression of HD.  Searching on these additional terms will likely provide additional, relevant articles.  </w:t>
      </w:r>
      <w:proofErr w:type="gramStart"/>
      <w:r w:rsidRPr="003D1A2C">
        <w:rPr>
          <w:rFonts w:ascii="Georgia" w:hAnsi="Georgia" w:cs="Georgia"/>
          <w:color w:val="000000"/>
          <w:lang w:val="en-GB"/>
        </w:rPr>
        <w:t>However</w:t>
      </w:r>
      <w:proofErr w:type="gramEnd"/>
      <w:r w:rsidRPr="003D1A2C">
        <w:rPr>
          <w:rFonts w:ascii="Georgia" w:hAnsi="Georgia" w:cs="Georgia"/>
          <w:color w:val="000000"/>
          <w:lang w:val="en-GB"/>
        </w:rPr>
        <w:t xml:space="preserve"> a much more massive pile about students and consumers will likely have to be sifted through as described above, and time constraints limit my investigations.</w:t>
      </w:r>
    </w:p>
    <w:p w14:paraId="76BE2E18" w14:textId="6331286E"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There is another subtheme, pedagogical </w:t>
      </w:r>
      <w:proofErr w:type="gramStart"/>
      <w:r w:rsidRPr="003D1A2C">
        <w:rPr>
          <w:rFonts w:ascii="Georgia" w:hAnsi="Georgia" w:cs="Georgia"/>
          <w:color w:val="000000"/>
          <w:lang w:val="en-GB"/>
        </w:rPr>
        <w:t>beliefs</w:t>
      </w:r>
      <w:proofErr w:type="gramEnd"/>
      <w:r w:rsidRPr="003D1A2C">
        <w:rPr>
          <w:rFonts w:ascii="Georgia" w:hAnsi="Georgia" w:cs="Georgia"/>
          <w:color w:val="000000"/>
          <w:lang w:val="en-GB"/>
        </w:rPr>
        <w:t xml:space="preserve"> and practice, that is another current that drifts away from my VQ.  I have stated educators will use LMS that are aligned to pedagogical beliefs.  One literature review found 20 articles supporting this position.  (Liu et al., 2020).  An example of this topic is the finding that individuals construct unique (but malleable) perceptions of technology that influence the adoption process.   (Straub, 2009).  But although a necessary part of any LMS design, in my VQ, I’m not thinking about my andrago</w:t>
      </w:r>
      <w:r w:rsidR="00322B6C">
        <w:rPr>
          <w:rFonts w:ascii="Georgia" w:hAnsi="Georgia" w:cs="Georgia"/>
          <w:color w:val="000000"/>
          <w:lang w:val="en-GB"/>
        </w:rPr>
        <w:t>gi</w:t>
      </w:r>
      <w:r w:rsidRPr="003D1A2C">
        <w:rPr>
          <w:rFonts w:ascii="Georgia" w:hAnsi="Georgia" w:cs="Georgia"/>
          <w:color w:val="000000"/>
          <w:lang w:val="en-GB"/>
        </w:rPr>
        <w:t>cal heuristics when I’m bar gazing, although the pleasure I get out of it is connected to my way of teaching.</w:t>
      </w:r>
    </w:p>
    <w:p w14:paraId="78FB3418"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Although Ease of Use is a determinant that dates all the way back to the original TAM (Appendix D), studies have shown that it’s less of a factor than HM.  (Yi &amp; Hwang, 2003).  That is, educators, </w:t>
      </w:r>
      <w:proofErr w:type="gramStart"/>
      <w:r w:rsidRPr="003D1A2C">
        <w:rPr>
          <w:rFonts w:ascii="Georgia" w:hAnsi="Georgia" w:cs="Georgia"/>
          <w:color w:val="000000"/>
          <w:lang w:val="en-GB"/>
        </w:rPr>
        <w:t>myself</w:t>
      </w:r>
      <w:proofErr w:type="gramEnd"/>
      <w:r w:rsidRPr="003D1A2C">
        <w:rPr>
          <w:rFonts w:ascii="Georgia" w:hAnsi="Georgia" w:cs="Georgia"/>
          <w:color w:val="000000"/>
          <w:lang w:val="en-GB"/>
        </w:rPr>
        <w:t xml:space="preserve"> included, don’t mind clunking around a computer if there is some pleasure principle involved.  Which reinforces my belief that designing LMS to serve teachers’ needs is paramount to its adoption in the classroom.</w:t>
      </w:r>
    </w:p>
    <w:p w14:paraId="580A73C7"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Perceived usefulness is another core parameter of TAM, and again for quite some time it has been shown to be connected to enjoyment.  In other words, usefulness and enjoyment may share common pathways concerning the acceptance of a technology.  (Davis et al., 1992).  If someone enjoys using a technology, it’s likely that technology will be used.  And if someone uses a technology, it’s more likely than not that the user get satisfaction, if not pleasure out of using it.</w:t>
      </w:r>
    </w:p>
    <w:p w14:paraId="24088B43"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lastRenderedPageBreak/>
        <w:t xml:space="preserve">Habit is also a factor in the UTAUT model.  A no-brainer, in that the more often an educator uses a LMS, the more likely it will be used in the future.  This leads to the common argument that professional development trainings should be regular and easily </w:t>
      </w:r>
      <w:proofErr w:type="spellStart"/>
      <w:r w:rsidRPr="003D1A2C">
        <w:rPr>
          <w:rFonts w:ascii="Georgia" w:hAnsi="Georgia" w:cs="Georgia"/>
          <w:color w:val="000000"/>
          <w:lang w:val="en-GB"/>
        </w:rPr>
        <w:t>accessable</w:t>
      </w:r>
      <w:proofErr w:type="spellEnd"/>
      <w:r w:rsidRPr="003D1A2C">
        <w:rPr>
          <w:rFonts w:ascii="Georgia" w:hAnsi="Georgia" w:cs="Georgia"/>
          <w:color w:val="000000"/>
          <w:lang w:val="en-GB"/>
        </w:rPr>
        <w:t>, unlike what happened in 2020.  In terms of my VQ, if using a LMS is enjoyable to an educator, of course s/he will become habituated to its use.</w:t>
      </w:r>
    </w:p>
    <w:p w14:paraId="76D34761"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b/>
          <w:bCs/>
          <w:color w:val="000000"/>
          <w:lang w:val="en-GB"/>
        </w:rPr>
        <w:t>Discussion</w:t>
      </w:r>
    </w:p>
    <w:p w14:paraId="22663D5D"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Enjoying what you’re doing is a fundamental human drive, perhaps even evolutionary.  In the beginnings of online information technologies in the 1980s, it made sense for their designs to be utilitarian, business machines.  When educators entered the field in the 1990s, “interactivity” was the buzzword, or as one article was titled, “S(t)</w:t>
      </w:r>
      <w:proofErr w:type="spellStart"/>
      <w:r w:rsidRPr="003D1A2C">
        <w:rPr>
          <w:rFonts w:ascii="Georgia" w:hAnsi="Georgia" w:cs="Georgia"/>
          <w:color w:val="000000"/>
          <w:lang w:val="en-GB"/>
        </w:rPr>
        <w:t>imulating</w:t>
      </w:r>
      <w:proofErr w:type="spellEnd"/>
      <w:r w:rsidRPr="003D1A2C">
        <w:rPr>
          <w:rFonts w:ascii="Georgia" w:hAnsi="Georgia" w:cs="Georgia"/>
          <w:color w:val="000000"/>
          <w:lang w:val="en-GB"/>
        </w:rPr>
        <w:t>”.  (Saltmarsh &amp; Sutherland-Smith, 2010).  And I can see that phrase associated with my VQ.  As time moved forward, technology and models about online education accumulated, its path was governed by students and customers, where the money is.  None of that is problematic.  What happened when COVID hit is.  As I experienced, the heat was on to make teachers slide clickers.</w:t>
      </w:r>
    </w:p>
    <w:p w14:paraId="474CECA1"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What I teach is math, the easiest subject matter to migrate online.  </w:t>
      </w:r>
      <w:proofErr w:type="gramStart"/>
      <w:r w:rsidRPr="003D1A2C">
        <w:rPr>
          <w:rFonts w:ascii="Georgia" w:hAnsi="Georgia" w:cs="Georgia"/>
          <w:color w:val="000000"/>
          <w:lang w:val="en-GB"/>
        </w:rPr>
        <w:t>So</w:t>
      </w:r>
      <w:proofErr w:type="gramEnd"/>
      <w:r w:rsidRPr="003D1A2C">
        <w:rPr>
          <w:rFonts w:ascii="Georgia" w:hAnsi="Georgia" w:cs="Georgia"/>
          <w:color w:val="000000"/>
          <w:lang w:val="en-GB"/>
        </w:rPr>
        <w:t xml:space="preserve"> it was easier for me than most teachers to bring my metacognitions, my heuristics, my cognitive apprenticeship models along for the ride.  Although I couldn’t say that then, </w:t>
      </w:r>
      <w:proofErr w:type="gramStart"/>
      <w:r w:rsidRPr="003D1A2C">
        <w:rPr>
          <w:rFonts w:ascii="Georgia" w:hAnsi="Georgia" w:cs="Georgia"/>
          <w:color w:val="000000"/>
          <w:lang w:val="en-GB"/>
        </w:rPr>
        <w:t>all of</w:t>
      </w:r>
      <w:proofErr w:type="gramEnd"/>
      <w:r w:rsidRPr="003D1A2C">
        <w:rPr>
          <w:rFonts w:ascii="Georgia" w:hAnsi="Georgia" w:cs="Georgia"/>
          <w:color w:val="000000"/>
          <w:lang w:val="en-GB"/>
        </w:rPr>
        <w:t xml:space="preserve"> those words were unknown to me as well, during the Pandemic.</w:t>
      </w:r>
    </w:p>
    <w:p w14:paraId="6D1EC024"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The gap in this research paper, is the Pandemic.  Because my VQ appeared to me in May 2020, my perspective is more acute towards the limitations of the Zoom Room.  Not because social ICTs can’t express educational modalities, in fact my expertise shot off the charts like CO2 in the sky when I went remote, but </w:t>
      </w:r>
      <w:r w:rsidRPr="003D1A2C">
        <w:rPr>
          <w:rFonts w:ascii="Georgia" w:hAnsi="Georgia" w:cs="Georgia"/>
          <w:i/>
          <w:iCs/>
          <w:color w:val="000000"/>
          <w:lang w:val="en-GB"/>
        </w:rPr>
        <w:t>because of the way LMSs were introduced to so many teachers</w:t>
      </w:r>
      <w:r w:rsidRPr="003D1A2C">
        <w:rPr>
          <w:rFonts w:ascii="Georgia" w:hAnsi="Georgia" w:cs="Georgia"/>
          <w:color w:val="000000"/>
          <w:lang w:val="en-GB"/>
        </w:rPr>
        <w:t>, who in turn introduced that way to their students.  Only now are we starting to invest in digital literacy infrastructure: $2 billion in the 2021 Infrastructure Act.</w:t>
      </w:r>
    </w:p>
    <w:p w14:paraId="4FBE153F"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lastRenderedPageBreak/>
        <w:t xml:space="preserve">Moving forward, we begin at a deficit, with so many bad ways of teaching online now baked in.  And </w:t>
      </w:r>
      <w:proofErr w:type="gramStart"/>
      <w:r w:rsidRPr="003D1A2C">
        <w:rPr>
          <w:rFonts w:ascii="Georgia" w:hAnsi="Georgia" w:cs="Georgia"/>
          <w:color w:val="000000"/>
          <w:lang w:val="en-GB"/>
        </w:rPr>
        <w:t>so</w:t>
      </w:r>
      <w:proofErr w:type="gramEnd"/>
      <w:r w:rsidRPr="003D1A2C">
        <w:rPr>
          <w:rFonts w:ascii="Georgia" w:hAnsi="Georgia" w:cs="Georgia"/>
          <w:color w:val="000000"/>
          <w:lang w:val="en-GB"/>
        </w:rPr>
        <w:t xml:space="preserve"> I continue to return to my VQ: what makes using an LMS pleasurable to educators?  It is not utilitarian in nature, nor is it hedonic, or even epicurean in nature.  Teachers will only use an LMS if it already fits their pedagogy.  </w:t>
      </w:r>
      <w:proofErr w:type="gramStart"/>
      <w:r w:rsidRPr="003D1A2C">
        <w:rPr>
          <w:rFonts w:ascii="Georgia" w:hAnsi="Georgia" w:cs="Georgia"/>
          <w:color w:val="000000"/>
          <w:lang w:val="en-GB"/>
        </w:rPr>
        <w:t>So</w:t>
      </w:r>
      <w:proofErr w:type="gramEnd"/>
      <w:r w:rsidRPr="003D1A2C">
        <w:rPr>
          <w:rFonts w:ascii="Georgia" w:hAnsi="Georgia" w:cs="Georgia"/>
          <w:color w:val="000000"/>
          <w:lang w:val="en-GB"/>
        </w:rPr>
        <w:t xml:space="preserve"> the pleasure educators feel using an LMS occurs when they interacting with their students, but also because they are engaging their pedagogies in the classroom.</w:t>
      </w:r>
    </w:p>
    <w:p w14:paraId="4A41E894"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Which is why self-efficacy </w:t>
      </w:r>
      <w:proofErr w:type="gramStart"/>
      <w:r w:rsidRPr="003D1A2C">
        <w:rPr>
          <w:rFonts w:ascii="Georgia" w:hAnsi="Georgia" w:cs="Georgia"/>
          <w:color w:val="000000"/>
          <w:lang w:val="en-GB"/>
        </w:rPr>
        <w:t>is</w:t>
      </w:r>
      <w:proofErr w:type="gramEnd"/>
      <w:r w:rsidRPr="003D1A2C">
        <w:rPr>
          <w:rFonts w:ascii="Georgia" w:hAnsi="Georgia" w:cs="Georgia"/>
          <w:color w:val="000000"/>
          <w:lang w:val="en-GB"/>
        </w:rPr>
        <w:t xml:space="preserve"> so close, but so far.  Again, when I’m bar gazing, I’m not rereading Gramsci or E.P. Thompson to brush up on my andragogy, I’m not trying to achieve an objective, I’m enjoying myself.  And pleasure is the easiest way to </w:t>
      </w:r>
      <w:proofErr w:type="spellStart"/>
      <w:r w:rsidRPr="003D1A2C">
        <w:rPr>
          <w:rFonts w:ascii="Georgia" w:hAnsi="Georgia" w:cs="Georgia"/>
          <w:color w:val="000000"/>
          <w:lang w:val="en-GB"/>
        </w:rPr>
        <w:t>habitualize</w:t>
      </w:r>
      <w:proofErr w:type="spellEnd"/>
      <w:r w:rsidRPr="003D1A2C">
        <w:rPr>
          <w:rFonts w:ascii="Georgia" w:hAnsi="Georgia" w:cs="Georgia"/>
          <w:color w:val="000000"/>
          <w:lang w:val="en-GB"/>
        </w:rPr>
        <w:t xml:space="preserve"> LMS use.  Which leads to ease of use, and so on.</w:t>
      </w:r>
    </w:p>
    <w:p w14:paraId="5D8455AC"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b/>
          <w:bCs/>
          <w:color w:val="000000"/>
          <w:lang w:val="en-GB"/>
        </w:rPr>
        <w:t>Conclusion</w:t>
      </w:r>
    </w:p>
    <w:p w14:paraId="38D79481"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The existing models for understanding how educators use LMS make sense, and the paths they have taken over the years are rational, but the pause of 2020 requires us to be conscious of, and rethink, what makes a teacher use a LMS successfully.  And we didn’t have time to do that when COVID happened, everything was a patch job back then.  Every teacher, </w:t>
      </w:r>
      <w:proofErr w:type="gramStart"/>
      <w:r w:rsidRPr="003D1A2C">
        <w:rPr>
          <w:rFonts w:ascii="Georgia" w:hAnsi="Georgia" w:cs="Georgia"/>
          <w:color w:val="000000"/>
          <w:lang w:val="en-GB"/>
        </w:rPr>
        <w:t>myself</w:t>
      </w:r>
      <w:proofErr w:type="gramEnd"/>
      <w:r w:rsidRPr="003D1A2C">
        <w:rPr>
          <w:rFonts w:ascii="Georgia" w:hAnsi="Georgia" w:cs="Georgia"/>
          <w:color w:val="000000"/>
          <w:lang w:val="en-GB"/>
        </w:rPr>
        <w:t xml:space="preserve"> included, threw “banking 2.0” learning activities up on the cloud that would have been embarrassing or repugnant for us to perform in a real classroom.</w:t>
      </w:r>
    </w:p>
    <w:p w14:paraId="4168FDB8"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Using social ICTs in an educational setting will require first acknowledging that resistance to its use by students exist.  Next, what motivates a teacher to use a LMS is not well studied.  Finally, the </w:t>
      </w:r>
      <w:proofErr w:type="spellStart"/>
      <w:r w:rsidRPr="003D1A2C">
        <w:rPr>
          <w:rFonts w:ascii="Georgia" w:hAnsi="Georgia" w:cs="Georgia"/>
          <w:color w:val="000000"/>
          <w:lang w:val="en-GB"/>
        </w:rPr>
        <w:t>antecedant</w:t>
      </w:r>
      <w:proofErr w:type="spellEnd"/>
      <w:r w:rsidRPr="003D1A2C">
        <w:rPr>
          <w:rFonts w:ascii="Georgia" w:hAnsi="Georgia" w:cs="Georgia"/>
          <w:color w:val="000000"/>
          <w:lang w:val="en-GB"/>
        </w:rPr>
        <w:t xml:space="preserve"> terms that work well and are well studied in TAM/UTAUT for students and customers may not work so well for educators.  </w:t>
      </w:r>
    </w:p>
    <w:p w14:paraId="73DA420C"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Although hedonic motivation seemed best aligned to my VQ, it is but a strand in the tapestry of drives attached to TAM in the UTAUT-2 model.  </w:t>
      </w:r>
      <w:proofErr w:type="gramStart"/>
      <w:r w:rsidRPr="003D1A2C">
        <w:rPr>
          <w:rFonts w:ascii="Georgia" w:hAnsi="Georgia" w:cs="Georgia"/>
          <w:color w:val="000000"/>
          <w:lang w:val="en-GB"/>
        </w:rPr>
        <w:t>So</w:t>
      </w:r>
      <w:proofErr w:type="gramEnd"/>
      <w:r w:rsidRPr="003D1A2C">
        <w:rPr>
          <w:rFonts w:ascii="Georgia" w:hAnsi="Georgia" w:cs="Georgia"/>
          <w:color w:val="000000"/>
          <w:lang w:val="en-GB"/>
        </w:rPr>
        <w:t xml:space="preserve"> enjoying LMS use will obviously make it appear easier to use.  So instead of a word or term to describe what I am trying to find </w:t>
      </w:r>
      <w:r w:rsidRPr="003D1A2C">
        <w:rPr>
          <w:rFonts w:ascii="Georgia" w:hAnsi="Georgia" w:cs="Georgia"/>
          <w:color w:val="000000"/>
          <w:lang w:val="en-GB"/>
        </w:rPr>
        <w:lastRenderedPageBreak/>
        <w:t xml:space="preserve">out about enjoying </w:t>
      </w:r>
      <w:proofErr w:type="gramStart"/>
      <w:r w:rsidRPr="003D1A2C">
        <w:rPr>
          <w:rFonts w:ascii="Georgia" w:hAnsi="Georgia" w:cs="Georgia"/>
          <w:color w:val="000000"/>
          <w:lang w:val="en-GB"/>
        </w:rPr>
        <w:t>to use</w:t>
      </w:r>
      <w:proofErr w:type="gramEnd"/>
      <w:r w:rsidRPr="003D1A2C">
        <w:rPr>
          <w:rFonts w:ascii="Georgia" w:hAnsi="Georgia" w:cs="Georgia"/>
          <w:color w:val="000000"/>
          <w:lang w:val="en-GB"/>
        </w:rPr>
        <w:t xml:space="preserve"> a LMS, the semantic taxonomies mentioned may point to a better way to </w:t>
      </w:r>
      <w:proofErr w:type="spellStart"/>
      <w:r w:rsidRPr="003D1A2C">
        <w:rPr>
          <w:rFonts w:ascii="Georgia" w:hAnsi="Georgia" w:cs="Georgia"/>
          <w:color w:val="000000"/>
          <w:lang w:val="en-GB"/>
        </w:rPr>
        <w:t>analyze</w:t>
      </w:r>
      <w:proofErr w:type="spellEnd"/>
      <w:r w:rsidRPr="003D1A2C">
        <w:rPr>
          <w:rFonts w:ascii="Georgia" w:hAnsi="Georgia" w:cs="Georgia"/>
          <w:color w:val="000000"/>
          <w:lang w:val="en-GB"/>
        </w:rPr>
        <w:t xml:space="preserve"> how instructors use LMSs.</w:t>
      </w:r>
    </w:p>
    <w:p w14:paraId="1724CE22"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Here’s what we do know.  When an educator has technology that enhances his/her prowess in the classroom it will be used repeatedly.  If all a LMS does is relegate instructors to slide clickers, it’s not going to work.  There has to be a </w:t>
      </w:r>
      <w:proofErr w:type="spellStart"/>
      <w:r w:rsidRPr="003D1A2C">
        <w:rPr>
          <w:rFonts w:ascii="Georgia" w:hAnsi="Georgia" w:cs="Georgia"/>
          <w:color w:val="000000"/>
          <w:lang w:val="en-GB"/>
        </w:rPr>
        <w:t>recentering</w:t>
      </w:r>
      <w:proofErr w:type="spellEnd"/>
      <w:r w:rsidRPr="003D1A2C">
        <w:rPr>
          <w:rFonts w:ascii="Georgia" w:hAnsi="Georgia" w:cs="Georgia"/>
          <w:color w:val="000000"/>
          <w:lang w:val="en-GB"/>
        </w:rPr>
        <w:t xml:space="preserve"> of existing TAM models to better align their designs to what teachers did in their classrooms before </w:t>
      </w:r>
      <w:proofErr w:type="gramStart"/>
      <w:r w:rsidRPr="003D1A2C">
        <w:rPr>
          <w:rFonts w:ascii="Georgia" w:hAnsi="Georgia" w:cs="Georgia"/>
          <w:color w:val="000000"/>
          <w:lang w:val="en-GB"/>
        </w:rPr>
        <w:t>COVID, and</w:t>
      </w:r>
      <w:proofErr w:type="gramEnd"/>
      <w:r w:rsidRPr="003D1A2C">
        <w:rPr>
          <w:rFonts w:ascii="Georgia" w:hAnsi="Georgia" w:cs="Georgia"/>
          <w:color w:val="000000"/>
          <w:lang w:val="en-GB"/>
        </w:rPr>
        <w:t xml:space="preserve"> need to do again in remote classes.   LMS models that allow customization, so that novices can have a few buttons on their dashboard, while experts can </w:t>
      </w:r>
      <w:proofErr w:type="spellStart"/>
      <w:r w:rsidRPr="003D1A2C">
        <w:rPr>
          <w:rFonts w:ascii="Georgia" w:hAnsi="Georgia" w:cs="Georgia"/>
          <w:color w:val="000000"/>
          <w:lang w:val="en-GB"/>
        </w:rPr>
        <w:t>plugin</w:t>
      </w:r>
      <w:proofErr w:type="spellEnd"/>
      <w:r w:rsidRPr="003D1A2C">
        <w:rPr>
          <w:rFonts w:ascii="Georgia" w:hAnsi="Georgia" w:cs="Georgia"/>
          <w:color w:val="000000"/>
          <w:lang w:val="en-GB"/>
        </w:rPr>
        <w:t xml:space="preserve"> whatever pleases them will make it easier for each teacher, who has made pedagogical choice wandering through his/her career path, to keep enjoy what they do, teach.  The evolution to IMX technologies will offer an advantage to remote instructors because IMX technologies will</w:t>
      </w:r>
    </w:p>
    <w:p w14:paraId="7A04A6EB"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1)  be designed to support the pedagogies teachers already use in the classroom</w:t>
      </w:r>
    </w:p>
    <w:p w14:paraId="1F848AE5"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2) study prototypes to observe how teacher may enjoy using them</w:t>
      </w:r>
    </w:p>
    <w:p w14:paraId="3AD1410B"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3) offer customization to serve the need of novices to experts</w:t>
      </w:r>
    </w:p>
    <w:p w14:paraId="4E57DC50" w14:textId="77777777" w:rsidR="003D1A2C" w:rsidRPr="003D1A2C" w:rsidRDefault="003D1A2C" w:rsidP="003D1A2C">
      <w:pPr>
        <w:autoSpaceDE w:val="0"/>
        <w:autoSpaceDN w:val="0"/>
        <w:adjustRightInd w:val="0"/>
        <w:spacing w:after="0" w:line="528" w:lineRule="atLeast"/>
        <w:ind w:firstLine="720"/>
        <w:jc w:val="center"/>
        <w:textAlignment w:val="center"/>
        <w:rPr>
          <w:rFonts w:ascii="Georgia" w:hAnsi="Georgia" w:cs="Georgia"/>
          <w:color w:val="000000"/>
          <w:lang w:val="en-GB"/>
        </w:rPr>
      </w:pPr>
      <w:r w:rsidRPr="003D1A2C">
        <w:rPr>
          <w:rFonts w:ascii="Georgia" w:hAnsi="Georgia" w:cs="Georgia"/>
          <w:b/>
          <w:bCs/>
          <w:color w:val="000000"/>
          <w:lang w:val="en-GB"/>
        </w:rPr>
        <w:t>Reflection</w:t>
      </w:r>
    </w:p>
    <w:p w14:paraId="1BABCF31"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Zotero changed the way I research for the rest of my life.  I thank </w:t>
      </w:r>
      <w:proofErr w:type="gramStart"/>
      <w:r w:rsidRPr="003D1A2C">
        <w:rPr>
          <w:rFonts w:ascii="Georgia" w:hAnsi="Georgia" w:cs="Georgia"/>
          <w:color w:val="000000"/>
          <w:lang w:val="en-GB"/>
        </w:rPr>
        <w:t>you, and</w:t>
      </w:r>
      <w:proofErr w:type="gramEnd"/>
      <w:r w:rsidRPr="003D1A2C">
        <w:rPr>
          <w:rFonts w:ascii="Georgia" w:hAnsi="Georgia" w:cs="Georgia"/>
          <w:color w:val="000000"/>
          <w:lang w:val="en-GB"/>
        </w:rPr>
        <w:t xml:space="preserve"> wish you had incorporated using it into your rubric for the first blog post.</w:t>
      </w:r>
    </w:p>
    <w:p w14:paraId="29385462"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When I read back my 10/18 list of research questions, how misguided I was.  If I only knew a month ago, what I know now about this research project, I probably would have abandoned ship, and found some </w:t>
      </w:r>
      <w:proofErr w:type="spellStart"/>
      <w:r w:rsidRPr="003D1A2C">
        <w:rPr>
          <w:rFonts w:ascii="Georgia" w:hAnsi="Georgia" w:cs="Georgia"/>
          <w:color w:val="000000"/>
          <w:lang w:val="en-GB"/>
        </w:rPr>
        <w:t>ticky</w:t>
      </w:r>
      <w:proofErr w:type="spellEnd"/>
      <w:r w:rsidRPr="003D1A2C">
        <w:rPr>
          <w:rFonts w:ascii="Georgia" w:hAnsi="Georgia" w:cs="Georgia"/>
          <w:color w:val="000000"/>
          <w:lang w:val="en-GB"/>
        </w:rPr>
        <w:t xml:space="preserve"> tacky RQ that had easy answers.  Even though my brain is redlining with cognitive overload, I’m still glad I stuck to my guns and kept looking, even if the motif never varied.</w:t>
      </w:r>
    </w:p>
    <w:p w14:paraId="7109F550"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As I mentioned in class, there is a movement away from static LMS, towards students creating their own learning experiences on whatever learning platforms become in the future.  </w:t>
      </w:r>
      <w:r w:rsidRPr="003D1A2C">
        <w:rPr>
          <w:rFonts w:ascii="Georgia" w:hAnsi="Georgia" w:cs="Georgia"/>
          <w:color w:val="000000"/>
          <w:lang w:val="en-GB"/>
        </w:rPr>
        <w:lastRenderedPageBreak/>
        <w:t xml:space="preserve">But that research doesn’t exist, precisely because for the most part, student </w:t>
      </w:r>
      <w:proofErr w:type="spellStart"/>
      <w:r w:rsidRPr="003D1A2C">
        <w:rPr>
          <w:rFonts w:ascii="Georgia" w:hAnsi="Georgia" w:cs="Georgia"/>
          <w:color w:val="000000"/>
          <w:lang w:val="en-GB"/>
        </w:rPr>
        <w:t>centered</w:t>
      </w:r>
      <w:proofErr w:type="spellEnd"/>
      <w:r w:rsidRPr="003D1A2C">
        <w:rPr>
          <w:rFonts w:ascii="Georgia" w:hAnsi="Georgia" w:cs="Georgia"/>
          <w:color w:val="000000"/>
          <w:lang w:val="en-GB"/>
        </w:rPr>
        <w:t xml:space="preserve"> learning experiences on ICTs are still in the future.  Canvas is teacher </w:t>
      </w:r>
      <w:proofErr w:type="spellStart"/>
      <w:r w:rsidRPr="003D1A2C">
        <w:rPr>
          <w:rFonts w:ascii="Georgia" w:hAnsi="Georgia" w:cs="Georgia"/>
          <w:color w:val="000000"/>
          <w:lang w:val="en-GB"/>
        </w:rPr>
        <w:t>centered</w:t>
      </w:r>
      <w:proofErr w:type="spellEnd"/>
      <w:r w:rsidRPr="003D1A2C">
        <w:rPr>
          <w:rFonts w:ascii="Georgia" w:hAnsi="Georgia" w:cs="Georgia"/>
          <w:color w:val="000000"/>
          <w:lang w:val="en-GB"/>
        </w:rPr>
        <w:t xml:space="preserve">, the proof is where you keep assignments and where my other two professors upload them, are completely different.  Therefore, when I’m looking for something in one of </w:t>
      </w:r>
      <w:r w:rsidRPr="003D1A2C">
        <w:rPr>
          <w:rFonts w:ascii="Georgia" w:hAnsi="Georgia" w:cs="Georgia"/>
          <w:color w:val="000000"/>
          <w:u w:val="thick"/>
          <w:lang w:val="en-GB"/>
        </w:rPr>
        <w:t>my</w:t>
      </w:r>
      <w:r w:rsidRPr="003D1A2C">
        <w:rPr>
          <w:rFonts w:ascii="Georgia" w:hAnsi="Georgia" w:cs="Georgia"/>
          <w:color w:val="000000"/>
          <w:lang w:val="en-GB"/>
        </w:rPr>
        <w:t xml:space="preserve"> classes, my first question is invariably, who is the teacher for that class?  Every student should have something like the </w:t>
      </w:r>
      <w:proofErr w:type="spellStart"/>
      <w:r w:rsidRPr="003D1A2C">
        <w:rPr>
          <w:rFonts w:ascii="Georgia" w:hAnsi="Georgia" w:cs="Georgia"/>
          <w:color w:val="000000"/>
          <w:lang w:val="en-GB"/>
        </w:rPr>
        <w:t>blogspots</w:t>
      </w:r>
      <w:proofErr w:type="spellEnd"/>
      <w:r w:rsidRPr="003D1A2C">
        <w:rPr>
          <w:rFonts w:ascii="Georgia" w:hAnsi="Georgia" w:cs="Georgia"/>
          <w:color w:val="000000"/>
          <w:lang w:val="en-GB"/>
        </w:rPr>
        <w:t xml:space="preserve"> in this </w:t>
      </w:r>
      <w:proofErr w:type="gramStart"/>
      <w:r w:rsidRPr="003D1A2C">
        <w:rPr>
          <w:rFonts w:ascii="Georgia" w:hAnsi="Georgia" w:cs="Georgia"/>
          <w:color w:val="000000"/>
          <w:lang w:val="en-GB"/>
        </w:rPr>
        <w:t>class, and</w:t>
      </w:r>
      <w:proofErr w:type="gramEnd"/>
      <w:r w:rsidRPr="003D1A2C">
        <w:rPr>
          <w:rFonts w:ascii="Georgia" w:hAnsi="Georgia" w:cs="Georgia"/>
          <w:color w:val="000000"/>
          <w:lang w:val="en-GB"/>
        </w:rPr>
        <w:t xml:space="preserve"> use it as their landing page for personal discovery.  Instead, log in to this site, go to that module, again and again, </w:t>
      </w:r>
      <w:proofErr w:type="gramStart"/>
      <w:r w:rsidRPr="003D1A2C">
        <w:rPr>
          <w:rFonts w:ascii="Georgia" w:hAnsi="Georgia" w:cs="Georgia"/>
          <w:color w:val="000000"/>
          <w:lang w:val="en-GB"/>
        </w:rPr>
        <w:t>over</w:t>
      </w:r>
      <w:proofErr w:type="gramEnd"/>
      <w:r w:rsidRPr="003D1A2C">
        <w:rPr>
          <w:rFonts w:ascii="Georgia" w:hAnsi="Georgia" w:cs="Georgia"/>
          <w:color w:val="000000"/>
          <w:lang w:val="en-GB"/>
        </w:rPr>
        <w:t xml:space="preserve"> and over, for each and every class, each formatted slightly different for each professor.  To me, it is the “banking model,” 2.0.</w:t>
      </w:r>
    </w:p>
    <w:p w14:paraId="2614E35E" w14:textId="1C7B1FAB" w:rsid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 xml:space="preserve">Sitting in my studio, day after day in 2020, staring at the bars, I know now I was gazing into a future to be, not what is.  It was only after suffering through many dead ends and </w:t>
      </w:r>
      <w:proofErr w:type="spellStart"/>
      <w:r w:rsidRPr="003D1A2C">
        <w:rPr>
          <w:rFonts w:ascii="Georgia" w:hAnsi="Georgia" w:cs="Georgia"/>
          <w:color w:val="000000"/>
          <w:lang w:val="en-GB"/>
        </w:rPr>
        <w:t>misdirections</w:t>
      </w:r>
      <w:proofErr w:type="spellEnd"/>
      <w:r w:rsidRPr="003D1A2C">
        <w:rPr>
          <w:rFonts w:ascii="Georgia" w:hAnsi="Georgia" w:cs="Georgia"/>
          <w:color w:val="000000"/>
          <w:lang w:val="en-GB"/>
        </w:rPr>
        <w:t xml:space="preserve">, like when I found a research article (cite) about online quizzes engages students more than in person, which makes sense, but I wasted a week down that crooked road.   But the biggest detour was reading academic articles about hedonic motivations correlating negatively to social ICTs, in educational settings.  Entering the research without words, and the expected RQ, “how can learners enjoy sharing their knowledge and experiences across social ICTs?” careening me into a maelstrom instead, mostly because of the lack of much of any research out on the radar, (Appendix C), required me to sight </w:t>
      </w:r>
      <w:proofErr w:type="spellStart"/>
      <w:r w:rsidRPr="003D1A2C">
        <w:rPr>
          <w:rFonts w:ascii="Georgia" w:hAnsi="Georgia" w:cs="Georgia"/>
          <w:color w:val="000000"/>
          <w:lang w:val="en-GB"/>
        </w:rPr>
        <w:t>wayback</w:t>
      </w:r>
      <w:proofErr w:type="spellEnd"/>
      <w:r w:rsidRPr="003D1A2C">
        <w:rPr>
          <w:rFonts w:ascii="Georgia" w:hAnsi="Georgia" w:cs="Georgia"/>
          <w:color w:val="000000"/>
          <w:lang w:val="en-GB"/>
        </w:rPr>
        <w:t xml:space="preserve"> many years before COVID, and working forward until returning the maelstrom I am now conscious: how damaging COVID was to using social ICTs for educational purposes.  Yes, there are research papers to be found with that RQ, many in fact, but it always returns to the fact that the perspective is never teacher </w:t>
      </w:r>
      <w:proofErr w:type="spellStart"/>
      <w:r w:rsidRPr="003D1A2C">
        <w:rPr>
          <w:rFonts w:ascii="Georgia" w:hAnsi="Georgia" w:cs="Georgia"/>
          <w:color w:val="000000"/>
          <w:lang w:val="en-GB"/>
        </w:rPr>
        <w:t>centered</w:t>
      </w:r>
      <w:proofErr w:type="spellEnd"/>
      <w:r w:rsidRPr="003D1A2C">
        <w:rPr>
          <w:rFonts w:ascii="Georgia" w:hAnsi="Georgia" w:cs="Georgia"/>
          <w:color w:val="000000"/>
          <w:lang w:val="en-GB"/>
        </w:rPr>
        <w:t xml:space="preserve">.  In my last paragraph I wrote that teacher </w:t>
      </w:r>
      <w:proofErr w:type="spellStart"/>
      <w:r w:rsidRPr="003D1A2C">
        <w:rPr>
          <w:rFonts w:ascii="Georgia" w:hAnsi="Georgia" w:cs="Georgia"/>
          <w:color w:val="000000"/>
          <w:lang w:val="en-GB"/>
        </w:rPr>
        <w:t>centered</w:t>
      </w:r>
      <w:proofErr w:type="spellEnd"/>
      <w:r w:rsidRPr="003D1A2C">
        <w:rPr>
          <w:rFonts w:ascii="Georgia" w:hAnsi="Georgia" w:cs="Georgia"/>
          <w:color w:val="000000"/>
          <w:lang w:val="en-GB"/>
        </w:rPr>
        <w:t xml:space="preserve"> is a bad thing.  Not here.  As I said on page 1, if a technology is not designed to serve the existing pedagogies an educator has already chosen, s/he’s not going to pick it up in the first place.  And the fact that teacher motivations for ICT use simply </w:t>
      </w:r>
      <w:proofErr w:type="gramStart"/>
      <w:r w:rsidRPr="003D1A2C">
        <w:rPr>
          <w:rFonts w:ascii="Georgia" w:hAnsi="Georgia" w:cs="Georgia"/>
          <w:color w:val="000000"/>
          <w:lang w:val="en-GB"/>
        </w:rPr>
        <w:t>are in need of</w:t>
      </w:r>
      <w:proofErr w:type="gramEnd"/>
      <w:r w:rsidRPr="003D1A2C">
        <w:rPr>
          <w:rFonts w:ascii="Georgia" w:hAnsi="Georgia" w:cs="Georgia"/>
          <w:color w:val="000000"/>
          <w:lang w:val="en-GB"/>
        </w:rPr>
        <w:t xml:space="preserve"> more study, my VQ awakened me to something I </w:t>
      </w:r>
      <w:r w:rsidRPr="003D1A2C">
        <w:rPr>
          <w:rFonts w:ascii="Georgia" w:hAnsi="Georgia" w:cs="Georgia"/>
          <w:color w:val="000000"/>
          <w:lang w:val="en-GB"/>
        </w:rPr>
        <w:lastRenderedPageBreak/>
        <w:t xml:space="preserve">am now even more aware has not been considered in context larger than my studio.  Acquiring teacher </w:t>
      </w:r>
      <w:proofErr w:type="spellStart"/>
      <w:r w:rsidRPr="003D1A2C">
        <w:rPr>
          <w:rFonts w:ascii="Georgia" w:hAnsi="Georgia" w:cs="Georgia"/>
          <w:color w:val="000000"/>
          <w:lang w:val="en-GB"/>
        </w:rPr>
        <w:t>centered</w:t>
      </w:r>
      <w:proofErr w:type="spellEnd"/>
      <w:r w:rsidRPr="003D1A2C">
        <w:rPr>
          <w:rFonts w:ascii="Georgia" w:hAnsi="Georgia" w:cs="Georgia"/>
          <w:color w:val="000000"/>
          <w:lang w:val="en-GB"/>
        </w:rPr>
        <w:t xml:space="preserve"> perspectives to identify their hedonic motivations to LMS use is important.  With good research and data, the IMX will propel educators into mediating their pedagogies through technology, to reach remote students.  Educators’ acceptance of this technology is not so they can become proficient, but to actively interact with his/her students, in furtherance of pedagogies the educator has personally chosen.  Once interactive with the LMS, the “pretensions” I described in the previous paragraph melt away, and the LMS becomes an IMX.</w:t>
      </w:r>
    </w:p>
    <w:p w14:paraId="3A7AA608" w14:textId="77777777" w:rsidR="003D1A2C" w:rsidRPr="003D1A2C" w:rsidRDefault="003D1A2C" w:rsidP="003D1A2C">
      <w:pPr>
        <w:autoSpaceDE w:val="0"/>
        <w:autoSpaceDN w:val="0"/>
        <w:adjustRightInd w:val="0"/>
        <w:spacing w:after="0" w:line="240" w:lineRule="exact"/>
        <w:ind w:firstLine="720"/>
        <w:textAlignment w:val="center"/>
        <w:rPr>
          <w:rFonts w:ascii="Georgia" w:hAnsi="Georgia" w:cs="Georgia"/>
          <w:color w:val="000000"/>
          <w:lang w:val="en-GB"/>
        </w:rPr>
      </w:pPr>
    </w:p>
    <w:p w14:paraId="0A6356CE" w14:textId="34CDBA96" w:rsidR="003D1A2C" w:rsidRPr="003D1A2C" w:rsidRDefault="003D1A2C" w:rsidP="008F49AD">
      <w:pPr>
        <w:autoSpaceDE w:val="0"/>
        <w:autoSpaceDN w:val="0"/>
        <w:adjustRightInd w:val="0"/>
        <w:spacing w:after="0" w:line="480" w:lineRule="auto"/>
        <w:ind w:firstLine="720"/>
        <w:textAlignment w:val="center"/>
        <w:rPr>
          <w:rFonts w:ascii="Georgia" w:hAnsi="Georgia" w:cs="Georgia"/>
          <w:color w:val="000000"/>
          <w:lang w:val="en-GB"/>
        </w:rPr>
      </w:pPr>
      <w:r w:rsidRPr="003D1A2C">
        <w:rPr>
          <w:rFonts w:ascii="Georgia" w:hAnsi="Georgia" w:cs="Georgia"/>
          <w:color w:val="000000"/>
          <w:lang w:val="en-GB"/>
        </w:rPr>
        <w:t xml:space="preserve">I think the most concrete next step for me would be sketching out the skills I acquired, before matriculating, in pursuit of my VQ, and negotiating a personal research plan for the 5003 and 5004 classes, which is one of the main reasons I matriculated in the first place.  The main part of the design would be designing 3 buttons, on the backend, that would allow </w:t>
      </w:r>
      <w:proofErr w:type="gramStart"/>
      <w:r w:rsidRPr="003D1A2C">
        <w:rPr>
          <w:rFonts w:ascii="Georgia" w:hAnsi="Georgia" w:cs="Georgia"/>
          <w:color w:val="000000"/>
          <w:lang w:val="en-GB"/>
        </w:rPr>
        <w:t>educators  to</w:t>
      </w:r>
      <w:proofErr w:type="gramEnd"/>
      <w:r w:rsidRPr="003D1A2C">
        <w:rPr>
          <w:rFonts w:ascii="Georgia" w:hAnsi="Georgia" w:cs="Georgia"/>
          <w:color w:val="000000"/>
          <w:lang w:val="en-GB"/>
        </w:rPr>
        <w:t xml:space="preserve"> do the interactive things I created for my classes, in pursuit of my VQ.  </w:t>
      </w:r>
      <w:proofErr w:type="gramStart"/>
      <w:r w:rsidRPr="003D1A2C">
        <w:rPr>
          <w:rFonts w:ascii="Georgia" w:hAnsi="Georgia" w:cs="Georgia"/>
          <w:color w:val="000000"/>
          <w:lang w:val="en-GB"/>
        </w:rPr>
        <w:t>But,</w:t>
      </w:r>
      <w:proofErr w:type="gramEnd"/>
      <w:r w:rsidRPr="003D1A2C">
        <w:rPr>
          <w:rFonts w:ascii="Georgia" w:hAnsi="Georgia" w:cs="Georgia"/>
          <w:color w:val="000000"/>
          <w:lang w:val="en-GB"/>
        </w:rPr>
        <w:t xml:space="preserve"> and this is where I could get some use out of this “gap paper,” the first use for those buttons would be a survey/research about educators pushing those buttons, to study hedonic motivations.  </w:t>
      </w:r>
      <w:proofErr w:type="gramStart"/>
      <w:r w:rsidRPr="003D1A2C">
        <w:rPr>
          <w:rFonts w:ascii="Georgia" w:hAnsi="Georgia" w:cs="Georgia"/>
          <w:color w:val="000000"/>
          <w:lang w:val="en-GB"/>
        </w:rPr>
        <w:t>So</w:t>
      </w:r>
      <w:proofErr w:type="gramEnd"/>
      <w:r w:rsidRPr="003D1A2C">
        <w:rPr>
          <w:rFonts w:ascii="Georgia" w:hAnsi="Georgia" w:cs="Georgia"/>
          <w:color w:val="000000"/>
          <w:lang w:val="en-GB"/>
        </w:rPr>
        <w:t xml:space="preserve"> by </w:t>
      </w:r>
      <w:r>
        <w:rPr>
          <w:rFonts w:ascii="Georgia" w:hAnsi="Georgia" w:cs="Georgia"/>
          <w:color w:val="000000"/>
          <w:lang w:val="en-GB"/>
        </w:rPr>
        <w:t>t</w:t>
      </w:r>
      <w:r w:rsidRPr="003D1A2C">
        <w:rPr>
          <w:rFonts w:ascii="Georgia" w:hAnsi="Georgia" w:cs="Georgia"/>
          <w:color w:val="000000"/>
          <w:lang w:val="en-GB"/>
        </w:rPr>
        <w:t>he end of the programming courses, I will be right back to where I am, right now.</w:t>
      </w:r>
    </w:p>
    <w:p w14:paraId="61ED0B2D" w14:textId="77777777" w:rsidR="003D1A2C" w:rsidRDefault="003D1A2C" w:rsidP="003D1A2C">
      <w:pPr>
        <w:spacing w:line="480" w:lineRule="auto"/>
        <w:rPr>
          <w:rFonts w:ascii="Georgia" w:hAnsi="Georgia" w:cs="Georgia"/>
          <w:color w:val="000000"/>
          <w:lang w:val="en-GB"/>
        </w:rPr>
        <w:sectPr w:rsidR="003D1A2C" w:rsidSect="003D1A2C">
          <w:headerReference w:type="default" r:id="rId6"/>
          <w:pgSz w:w="12240" w:h="15840"/>
          <w:pgMar w:top="1440" w:right="1440" w:bottom="1440" w:left="1440" w:header="720" w:footer="720" w:gutter="0"/>
          <w:pgNumType w:start="1"/>
          <w:cols w:space="720"/>
          <w:noEndnote/>
        </w:sectPr>
      </w:pPr>
      <w:r w:rsidRPr="003D1A2C">
        <w:rPr>
          <w:rFonts w:ascii="Georgia" w:hAnsi="Georgia" w:cs="Georgia"/>
          <w:color w:val="000000"/>
          <w:lang w:val="en-GB"/>
        </w:rPr>
        <w:t>Finding ways to share how I enjoy teaching online, using LMS, finding ways to use social ICTs to enhance what teachers already excel at in the classroom.</w:t>
      </w:r>
    </w:p>
    <w:p w14:paraId="00E1D3A7" w14:textId="77777777" w:rsidR="003D1A2C" w:rsidRDefault="003D1A2C" w:rsidP="003D1A2C">
      <w:pPr>
        <w:pStyle w:val="toc"/>
        <w:jc w:val="center"/>
      </w:pPr>
      <w:r>
        <w:rPr>
          <w:b/>
          <w:bCs/>
        </w:rPr>
        <w:lastRenderedPageBreak/>
        <w:t>Reference</w:t>
      </w:r>
    </w:p>
    <w:p w14:paraId="728153F4" w14:textId="1D2136E3" w:rsidR="003D1A2C" w:rsidRDefault="003D1A2C" w:rsidP="003D1A2C">
      <w:pPr>
        <w:pStyle w:val="toc"/>
      </w:pPr>
      <w:r>
        <w:t xml:space="preserve">Abdullah, F., &amp; Ward, R. (2016). Developing a General Extended Technology Acceptance Model for E-Learning (GETAMEL) by analysing commonly used external factors. Computers in Human </w:t>
      </w:r>
      <w:proofErr w:type="spellStart"/>
      <w:r>
        <w:t>Behavior</w:t>
      </w:r>
      <w:proofErr w:type="spellEnd"/>
      <w:r>
        <w:t xml:space="preserve">, 56, 238–256. </w:t>
      </w:r>
      <w:hyperlink r:id="rId7" w:history="1">
        <w:r w:rsidR="008F49AD" w:rsidRPr="00085066">
          <w:rPr>
            <w:rStyle w:val="Hyperlink"/>
          </w:rPr>
          <w:t>https://doi.org/10.1016/j.chb.2015.11.036</w:t>
        </w:r>
      </w:hyperlink>
    </w:p>
    <w:p w14:paraId="667EB0E0" w14:textId="3FD8A4E3" w:rsidR="003D1A2C" w:rsidRDefault="003D1A2C" w:rsidP="003D1A2C">
      <w:pPr>
        <w:pStyle w:val="toc"/>
      </w:pPr>
      <w:proofErr w:type="spellStart"/>
      <w:r>
        <w:t>Aburagaga</w:t>
      </w:r>
      <w:proofErr w:type="spellEnd"/>
      <w:r>
        <w:t xml:space="preserve">, I., </w:t>
      </w:r>
      <w:proofErr w:type="spellStart"/>
      <w:r>
        <w:t>Agoyi</w:t>
      </w:r>
      <w:proofErr w:type="spellEnd"/>
      <w:r>
        <w:t xml:space="preserve">, M., &amp; </w:t>
      </w:r>
      <w:proofErr w:type="spellStart"/>
      <w:r>
        <w:t>Elgedawy</w:t>
      </w:r>
      <w:proofErr w:type="spellEnd"/>
      <w:r>
        <w:t xml:space="preserve">, I. (2020). Assessing Faculty’s Use of Social Network Tools in Libyan Higher Education via a Technology Acceptance Model. IEEE Access, 8, 116415–116430. </w:t>
      </w:r>
      <w:hyperlink r:id="rId8" w:history="1">
        <w:r w:rsidR="008F49AD" w:rsidRPr="00085066">
          <w:rPr>
            <w:rStyle w:val="Hyperlink"/>
          </w:rPr>
          <w:t>https://doi.org/10.1109/ACCESS.2020.3004200</w:t>
        </w:r>
      </w:hyperlink>
    </w:p>
    <w:p w14:paraId="255462B5" w14:textId="394E4742" w:rsidR="003D1A2C" w:rsidRDefault="003D1A2C" w:rsidP="003D1A2C">
      <w:pPr>
        <w:pStyle w:val="toc"/>
      </w:pPr>
      <w:r>
        <w:t>Al-</w:t>
      </w:r>
      <w:proofErr w:type="spellStart"/>
      <w:r>
        <w:t>Busaidi</w:t>
      </w:r>
      <w:proofErr w:type="spellEnd"/>
      <w:r>
        <w:t>, K. A., &amp; Al-</w:t>
      </w:r>
      <w:proofErr w:type="spellStart"/>
      <w:r>
        <w:t>Shihi</w:t>
      </w:r>
      <w:proofErr w:type="spellEnd"/>
      <w:r>
        <w:t xml:space="preserve">, H. (2012). Key factors to instructors’ satisfaction of learning management systems in blended learning. </w:t>
      </w:r>
      <w:r>
        <w:rPr>
          <w:i/>
          <w:iCs/>
        </w:rPr>
        <w:t>Journal of Computing in Higher Education, 24(1)</w:t>
      </w:r>
      <w:r>
        <w:t xml:space="preserve">, 18–39. </w:t>
      </w:r>
      <w:hyperlink r:id="rId9" w:history="1">
        <w:r w:rsidR="008F49AD" w:rsidRPr="00085066">
          <w:rPr>
            <w:rStyle w:val="Hyperlink"/>
          </w:rPr>
          <w:t>https://doi.org/10.1007/s12528-011-9051-x</w:t>
        </w:r>
      </w:hyperlink>
    </w:p>
    <w:p w14:paraId="315B91B9" w14:textId="03984046" w:rsidR="003D1A2C" w:rsidRDefault="003D1A2C" w:rsidP="003D1A2C">
      <w:pPr>
        <w:pStyle w:val="toc"/>
      </w:pPr>
      <w:r>
        <w:t xml:space="preserve">Al-Emran, M., &amp; </w:t>
      </w:r>
      <w:proofErr w:type="spellStart"/>
      <w:r>
        <w:t>Granić</w:t>
      </w:r>
      <w:proofErr w:type="spellEnd"/>
      <w:r>
        <w:t xml:space="preserve">, A. (2021). Is It Still Valid or Outdated? A Bibliometric Analysis of the Technology Acceptance Model and Its Applications From 2010 to 2020. In M. Al-Emran &amp; K. </w:t>
      </w:r>
      <w:proofErr w:type="spellStart"/>
      <w:r>
        <w:t>Shaalan</w:t>
      </w:r>
      <w:proofErr w:type="spellEnd"/>
      <w:r>
        <w:t xml:space="preserve"> (Eds.), Recent Advances in Technology Acceptance Models and Theories (pp. 1–12). Springer International Publishing. </w:t>
      </w:r>
      <w:hyperlink r:id="rId10" w:history="1">
        <w:r w:rsidR="008F49AD" w:rsidRPr="00085066">
          <w:rPr>
            <w:rStyle w:val="Hyperlink"/>
          </w:rPr>
          <w:t>https://doi.org/10.1007/978-3-030-64987-6_1</w:t>
        </w:r>
      </w:hyperlink>
    </w:p>
    <w:p w14:paraId="20F22320" w14:textId="7F6743B6" w:rsidR="003D1A2C" w:rsidRDefault="003D1A2C" w:rsidP="003D1A2C">
      <w:pPr>
        <w:pStyle w:val="toc"/>
      </w:pPr>
      <w:r>
        <w:t xml:space="preserve">Al-Emran, M., </w:t>
      </w:r>
      <w:proofErr w:type="spellStart"/>
      <w:r>
        <w:t>Mezhuyev</w:t>
      </w:r>
      <w:proofErr w:type="spellEnd"/>
      <w:r>
        <w:t xml:space="preserve">, V., &amp; </w:t>
      </w:r>
      <w:proofErr w:type="spellStart"/>
      <w:r>
        <w:t>Kamaludin</w:t>
      </w:r>
      <w:proofErr w:type="spellEnd"/>
      <w:r>
        <w:t xml:space="preserve">, A. (2018). Technology Acceptance Model in M-learning context: A systematic review. Computers &amp; Education, 125, 389–412. </w:t>
      </w:r>
      <w:hyperlink r:id="rId11" w:history="1">
        <w:r w:rsidR="008F49AD" w:rsidRPr="00085066">
          <w:rPr>
            <w:rStyle w:val="Hyperlink"/>
          </w:rPr>
          <w:t>https://doi.org/10.1016/j.compedu.2018.06.008</w:t>
        </w:r>
      </w:hyperlink>
    </w:p>
    <w:p w14:paraId="043A4FF4" w14:textId="2FDAEB59" w:rsidR="003D1A2C" w:rsidRDefault="003D1A2C" w:rsidP="003D1A2C">
      <w:pPr>
        <w:pStyle w:val="toc"/>
      </w:pPr>
      <w:proofErr w:type="spellStart"/>
      <w:r>
        <w:t>Almarashdeh</w:t>
      </w:r>
      <w:proofErr w:type="spellEnd"/>
      <w:r>
        <w:t xml:space="preserve">, I. (2016). Sharing instructors experience of learning management system: A technology perspective of user satisfaction in distance learning course. </w:t>
      </w:r>
      <w:r>
        <w:rPr>
          <w:i/>
          <w:iCs/>
        </w:rPr>
        <w:t xml:space="preserve">Computers in Human </w:t>
      </w:r>
      <w:proofErr w:type="spellStart"/>
      <w:r>
        <w:rPr>
          <w:i/>
          <w:iCs/>
        </w:rPr>
        <w:t>Behavior</w:t>
      </w:r>
      <w:proofErr w:type="spellEnd"/>
      <w:r>
        <w:rPr>
          <w:i/>
          <w:iCs/>
        </w:rPr>
        <w:t>, 63</w:t>
      </w:r>
      <w:r>
        <w:t xml:space="preserve">, 249–255. </w:t>
      </w:r>
      <w:hyperlink r:id="rId12" w:history="1">
        <w:r w:rsidR="008F49AD" w:rsidRPr="00085066">
          <w:rPr>
            <w:rStyle w:val="Hyperlink"/>
          </w:rPr>
          <w:t>https://doi.org/10.1016/j.chb.2016.05.013</w:t>
        </w:r>
      </w:hyperlink>
    </w:p>
    <w:p w14:paraId="4C1A0880" w14:textId="022FD683" w:rsidR="003D1A2C" w:rsidRDefault="003D1A2C" w:rsidP="003D1A2C">
      <w:pPr>
        <w:pStyle w:val="toc"/>
      </w:pPr>
      <w:proofErr w:type="spellStart"/>
      <w:r>
        <w:t>Asgari</w:t>
      </w:r>
      <w:proofErr w:type="spellEnd"/>
      <w:r>
        <w:t xml:space="preserve">, S., </w:t>
      </w:r>
      <w:proofErr w:type="spellStart"/>
      <w:r>
        <w:t>Trajkovic</w:t>
      </w:r>
      <w:proofErr w:type="spellEnd"/>
      <w:r>
        <w:t xml:space="preserve">, J., </w:t>
      </w:r>
      <w:proofErr w:type="spellStart"/>
      <w:r>
        <w:t>Rahmani</w:t>
      </w:r>
      <w:proofErr w:type="spellEnd"/>
      <w:r>
        <w:t xml:space="preserve">, M., Zhang, W., Lo, R. C., &amp; </w:t>
      </w:r>
      <w:proofErr w:type="spellStart"/>
      <w:r>
        <w:t>Sciortino</w:t>
      </w:r>
      <w:proofErr w:type="spellEnd"/>
      <w:r>
        <w:t xml:space="preserve">, A. (2021). An observational study of engineering online education during the COVID-19 pandemic. </w:t>
      </w:r>
      <w:proofErr w:type="spellStart"/>
      <w:r>
        <w:rPr>
          <w:i/>
          <w:iCs/>
        </w:rPr>
        <w:t>PloS</w:t>
      </w:r>
      <w:proofErr w:type="spellEnd"/>
      <w:r>
        <w:rPr>
          <w:i/>
          <w:iCs/>
        </w:rPr>
        <w:t xml:space="preserve"> One, 16(4)</w:t>
      </w:r>
      <w:r>
        <w:t xml:space="preserve">, e0250041. </w:t>
      </w:r>
      <w:hyperlink r:id="rId13" w:history="1">
        <w:r w:rsidR="008F49AD" w:rsidRPr="00085066">
          <w:rPr>
            <w:rStyle w:val="Hyperlink"/>
          </w:rPr>
          <w:t>https://doi.org/10.1371/journal.pone.0250041</w:t>
        </w:r>
      </w:hyperlink>
    </w:p>
    <w:p w14:paraId="1DC4ED92" w14:textId="77777777" w:rsidR="003D1A2C" w:rsidRDefault="003D1A2C" w:rsidP="003D1A2C">
      <w:pPr>
        <w:pStyle w:val="toc"/>
      </w:pPr>
      <w:r>
        <w:lastRenderedPageBreak/>
        <w:t>Berge, Z. L. (2007). Barriers and the Organization’s Capabilities for Distance Education. Distance Learning, 4(4), 1–15.</w:t>
      </w:r>
    </w:p>
    <w:p w14:paraId="26DAB010" w14:textId="59A30672" w:rsidR="003D1A2C" w:rsidRDefault="003D1A2C" w:rsidP="003D1A2C">
      <w:pPr>
        <w:pStyle w:val="toc"/>
      </w:pPr>
      <w:proofErr w:type="spellStart"/>
      <w:r>
        <w:t>Bervell</w:t>
      </w:r>
      <w:proofErr w:type="spellEnd"/>
      <w:r>
        <w:t xml:space="preserve">, B., &amp; Umar, I. N. (2017). Validation of the UTAUT Model: Re-Considering Non-Linear Relationships of Exogeneous Variables in Higher Education Technology Acceptance Research. Eurasia Journal of Mathematics Science and Technology Education, 13(10), 6471–6490. </w:t>
      </w:r>
      <w:hyperlink r:id="rId14" w:history="1">
        <w:r w:rsidR="008F49AD" w:rsidRPr="00085066">
          <w:rPr>
            <w:rStyle w:val="Hyperlink"/>
          </w:rPr>
          <w:t>https://doi.org/10.12973/ejmste/78076</w:t>
        </w:r>
      </w:hyperlink>
    </w:p>
    <w:p w14:paraId="2EA12E3B" w14:textId="60946C9B" w:rsidR="003D1A2C" w:rsidRDefault="003D1A2C" w:rsidP="003D1A2C">
      <w:pPr>
        <w:pStyle w:val="toc"/>
      </w:pPr>
      <w:r>
        <w:t xml:space="preserve">Cheung, R., &amp; Vogel, D. (2013). Predicting user acceptance of collaborative technologies: An extension of the technology acceptance model for e-learning. Computers &amp; Education, 63, 160–175. </w:t>
      </w:r>
      <w:hyperlink r:id="rId15" w:history="1">
        <w:r w:rsidR="008F49AD" w:rsidRPr="00085066">
          <w:rPr>
            <w:rStyle w:val="Hyperlink"/>
          </w:rPr>
          <w:t>https://doi.org/10.1016/j.compedu.2012.12.003</w:t>
        </w:r>
      </w:hyperlink>
    </w:p>
    <w:p w14:paraId="78774DCB" w14:textId="77777777" w:rsidR="003D1A2C" w:rsidRDefault="003D1A2C" w:rsidP="003D1A2C">
      <w:pPr>
        <w:pStyle w:val="toc"/>
      </w:pPr>
      <w:r>
        <w:t xml:space="preserve">Davis, F. D., </w:t>
      </w:r>
      <w:proofErr w:type="spellStart"/>
      <w:r>
        <w:t>Bagozzi</w:t>
      </w:r>
      <w:proofErr w:type="spellEnd"/>
      <w:r>
        <w:t xml:space="preserve">, R. P., &amp; </w:t>
      </w:r>
      <w:proofErr w:type="spellStart"/>
      <w:r>
        <w:t>Warshaw</w:t>
      </w:r>
      <w:proofErr w:type="spellEnd"/>
      <w:r>
        <w:t xml:space="preserve">, P. R. (1989). User Acceptance of Computer Technology: A Comparison of Two Theoretical Models. </w:t>
      </w:r>
      <w:r>
        <w:rPr>
          <w:i/>
          <w:iCs/>
        </w:rPr>
        <w:t>Management Science, 35(8)</w:t>
      </w:r>
      <w:r>
        <w:t>, 982–1003.</w:t>
      </w:r>
    </w:p>
    <w:p w14:paraId="13F06613" w14:textId="60E36F05" w:rsidR="003D1A2C" w:rsidRDefault="003D1A2C" w:rsidP="003D1A2C">
      <w:pPr>
        <w:pStyle w:val="toc"/>
      </w:pPr>
      <w:r>
        <w:t xml:space="preserve">Davis, F. D., </w:t>
      </w:r>
      <w:proofErr w:type="spellStart"/>
      <w:r>
        <w:t>Bagozzi</w:t>
      </w:r>
      <w:proofErr w:type="spellEnd"/>
      <w:r>
        <w:t xml:space="preserve">, R. P., &amp; </w:t>
      </w:r>
      <w:proofErr w:type="spellStart"/>
      <w:r>
        <w:t>Warshaw</w:t>
      </w:r>
      <w:proofErr w:type="spellEnd"/>
      <w:r>
        <w:t xml:space="preserve">, P. R. (1992). Extrinsic and Intrinsic Motivation to Use Computers in the Workplace1. Journal of Applied Social Psychology, 22(14), 1111–1132. </w:t>
      </w:r>
      <w:hyperlink r:id="rId16" w:history="1">
        <w:r w:rsidR="008F49AD" w:rsidRPr="00085066">
          <w:rPr>
            <w:rStyle w:val="Hyperlink"/>
          </w:rPr>
          <w:t>https://doi.org/10.1111/j.1559-1816.1992.tb00945.x</w:t>
        </w:r>
      </w:hyperlink>
    </w:p>
    <w:p w14:paraId="0888AE2A" w14:textId="18B07A2E" w:rsidR="003D1A2C" w:rsidRDefault="003D1A2C" w:rsidP="003D1A2C">
      <w:pPr>
        <w:pStyle w:val="toc"/>
      </w:pPr>
      <w:proofErr w:type="spellStart"/>
      <w:r>
        <w:t>Dimitrijević</w:t>
      </w:r>
      <w:proofErr w:type="spellEnd"/>
      <w:r>
        <w:t xml:space="preserve">, S., &amp; </w:t>
      </w:r>
      <w:proofErr w:type="spellStart"/>
      <w:r>
        <w:t>Devedžić</w:t>
      </w:r>
      <w:proofErr w:type="spellEnd"/>
      <w:r>
        <w:t xml:space="preserve">, V. (2021). Utilitarian and experiential aspects in acceptance models for learning technology. Educational Technology Research and Development, 69(2), 627–654. </w:t>
      </w:r>
      <w:hyperlink r:id="rId17" w:history="1">
        <w:r w:rsidR="008F49AD" w:rsidRPr="00085066">
          <w:rPr>
            <w:rStyle w:val="Hyperlink"/>
          </w:rPr>
          <w:t>https://doi.org/10.1007/s11423-021-09970-x\</w:t>
        </w:r>
      </w:hyperlink>
    </w:p>
    <w:p w14:paraId="7E8E2AC4" w14:textId="7FCF6FE8" w:rsidR="003D1A2C" w:rsidRDefault="003D1A2C" w:rsidP="003D1A2C">
      <w:pPr>
        <w:pStyle w:val="toc"/>
      </w:pPr>
      <w:proofErr w:type="spellStart"/>
      <w:r>
        <w:t>Dindar</w:t>
      </w:r>
      <w:proofErr w:type="spellEnd"/>
      <w:r>
        <w:t xml:space="preserve">, M., </w:t>
      </w:r>
      <w:proofErr w:type="spellStart"/>
      <w:r>
        <w:t>Suorsa</w:t>
      </w:r>
      <w:proofErr w:type="spellEnd"/>
      <w:r>
        <w:t xml:space="preserve">, A., Hermes, J., </w:t>
      </w:r>
      <w:proofErr w:type="spellStart"/>
      <w:r>
        <w:t>Karppinen</w:t>
      </w:r>
      <w:proofErr w:type="spellEnd"/>
      <w:r>
        <w:t xml:space="preserve">, P., &amp; </w:t>
      </w:r>
      <w:proofErr w:type="spellStart"/>
      <w:r>
        <w:t>Näykki</w:t>
      </w:r>
      <w:proofErr w:type="spellEnd"/>
      <w:r>
        <w:t xml:space="preserve">, P. (2021). Comparing technology acceptance of K-12 teachers with and without prior experience of learning management systems: A Covid-19 pandemic study. </w:t>
      </w:r>
      <w:r>
        <w:rPr>
          <w:i/>
          <w:iCs/>
        </w:rPr>
        <w:t>Journal of Computer Assisted Learning, 37(6)</w:t>
      </w:r>
      <w:r>
        <w:t xml:space="preserve">, 1553–1565. </w:t>
      </w:r>
      <w:hyperlink r:id="rId18" w:history="1">
        <w:r w:rsidR="008F49AD" w:rsidRPr="00085066">
          <w:rPr>
            <w:rStyle w:val="Hyperlink"/>
          </w:rPr>
          <w:t>https://doi.org/10.1111/jcal.12552</w:t>
        </w:r>
      </w:hyperlink>
    </w:p>
    <w:p w14:paraId="2F0B932C" w14:textId="5205A7D3" w:rsidR="003D1A2C" w:rsidRDefault="003D1A2C" w:rsidP="003D1A2C">
      <w:pPr>
        <w:pStyle w:val="toc"/>
      </w:pPr>
      <w:r>
        <w:t xml:space="preserve">Downing, </w:t>
      </w:r>
      <w:proofErr w:type="spellStart"/>
      <w:r>
        <w:t>JillianJ</w:t>
      </w:r>
      <w:proofErr w:type="spellEnd"/>
      <w:r>
        <w:t xml:space="preserve">., &amp; </w:t>
      </w:r>
      <w:proofErr w:type="spellStart"/>
      <w:r>
        <w:t>Dyment</w:t>
      </w:r>
      <w:proofErr w:type="spellEnd"/>
      <w:r>
        <w:t xml:space="preserve">, </w:t>
      </w:r>
      <w:proofErr w:type="spellStart"/>
      <w:r>
        <w:t>JanetE</w:t>
      </w:r>
      <w:proofErr w:type="spellEnd"/>
      <w:r>
        <w:t xml:space="preserve">. (2013). Teacher Educators’ Readiness, Preparation, and Perceptions of Preparing Preservice Teachers in a Fully Online Environment: An </w:t>
      </w:r>
      <w:r>
        <w:lastRenderedPageBreak/>
        <w:t xml:space="preserve">Exploratory Study. </w:t>
      </w:r>
      <w:r>
        <w:rPr>
          <w:i/>
          <w:iCs/>
        </w:rPr>
        <w:t>Teacher Educator, 48(2)</w:t>
      </w:r>
      <w:r>
        <w:t xml:space="preserve">, 96–109. </w:t>
      </w:r>
      <w:hyperlink r:id="rId19" w:history="1">
        <w:r w:rsidR="008F49AD" w:rsidRPr="00085066">
          <w:rPr>
            <w:rStyle w:val="Hyperlink"/>
          </w:rPr>
          <w:t>https://doi.org/10.1080/08878730.2012.760023</w:t>
        </w:r>
      </w:hyperlink>
    </w:p>
    <w:p w14:paraId="6A19BD19" w14:textId="77777777" w:rsidR="003D1A2C" w:rsidRDefault="003D1A2C" w:rsidP="003D1A2C">
      <w:pPr>
        <w:pStyle w:val="toc"/>
      </w:pPr>
      <w:r>
        <w:t>El-</w:t>
      </w:r>
      <w:proofErr w:type="spellStart"/>
      <w:r>
        <w:t>Masri</w:t>
      </w:r>
      <w:proofErr w:type="spellEnd"/>
      <w:r>
        <w:t xml:space="preserve">, M., &amp; </w:t>
      </w:r>
      <w:proofErr w:type="spellStart"/>
      <w:r>
        <w:t>Tarhini</w:t>
      </w:r>
      <w:proofErr w:type="spellEnd"/>
      <w:r>
        <w:t xml:space="preserve">, A. (2017). Factors affecting the adoption of e-learning systems in Qatar and USA: Extending the Unified Theory of Acceptance and Use of Technology 2 (UTAUT2). </w:t>
      </w:r>
      <w:r>
        <w:rPr>
          <w:i/>
          <w:iCs/>
        </w:rPr>
        <w:t>Educational Technology Research and Development, 65(3)</w:t>
      </w:r>
      <w:r>
        <w:t>, 743–767.</w:t>
      </w:r>
    </w:p>
    <w:p w14:paraId="7878582C" w14:textId="4C0BE3A9" w:rsidR="003D1A2C" w:rsidRDefault="003D1A2C" w:rsidP="003D1A2C">
      <w:pPr>
        <w:pStyle w:val="toc"/>
      </w:pPr>
      <w:r>
        <w:t xml:space="preserve">Farag, A., Greeley, L., &amp; Swindell, A. (2022).  Freire 2.0: Pedagogy of the digitally oppressed. </w:t>
      </w:r>
      <w:r>
        <w:rPr>
          <w:i/>
          <w:iCs/>
        </w:rPr>
        <w:t>Educational Philosophy and Theory, 54(13)</w:t>
      </w:r>
      <w:r>
        <w:t xml:space="preserve">, 2214–2227. </w:t>
      </w:r>
      <w:hyperlink r:id="rId20" w:history="1">
        <w:r w:rsidR="008F49AD" w:rsidRPr="00085066">
          <w:rPr>
            <w:rStyle w:val="Hyperlink"/>
          </w:rPr>
          <w:t>https://doi.org/10.1080/00131857.2021.2010541</w:t>
        </w:r>
      </w:hyperlink>
      <w:r>
        <w:t xml:space="preserve"> </w:t>
      </w:r>
    </w:p>
    <w:p w14:paraId="3BDB85FF" w14:textId="124845A4" w:rsidR="003D1A2C" w:rsidRDefault="003D1A2C" w:rsidP="003D1A2C">
      <w:pPr>
        <w:pStyle w:val="toc"/>
      </w:pPr>
      <w:proofErr w:type="spellStart"/>
      <w:r>
        <w:t>Garone</w:t>
      </w:r>
      <w:proofErr w:type="spellEnd"/>
      <w:r>
        <w:t xml:space="preserve">, A., </w:t>
      </w:r>
      <w:proofErr w:type="spellStart"/>
      <w:r>
        <w:t>Pynoo</w:t>
      </w:r>
      <w:proofErr w:type="spellEnd"/>
      <w:r>
        <w:t xml:space="preserve">, B., </w:t>
      </w:r>
      <w:proofErr w:type="spellStart"/>
      <w:r>
        <w:t>Tondeur</w:t>
      </w:r>
      <w:proofErr w:type="spellEnd"/>
      <w:r>
        <w:t xml:space="preserve">, J., </w:t>
      </w:r>
      <w:proofErr w:type="spellStart"/>
      <w:r>
        <w:t>Cocquyt</w:t>
      </w:r>
      <w:proofErr w:type="spellEnd"/>
      <w:r>
        <w:t xml:space="preserve">, C., </w:t>
      </w:r>
      <w:proofErr w:type="spellStart"/>
      <w:r>
        <w:t>Vanslambrouck</w:t>
      </w:r>
      <w:proofErr w:type="spellEnd"/>
      <w:r>
        <w:t xml:space="preserve">, S., Bruggeman, B., &amp; </w:t>
      </w:r>
      <w:proofErr w:type="spellStart"/>
      <w:r>
        <w:t>Struyven</w:t>
      </w:r>
      <w:proofErr w:type="spellEnd"/>
      <w:r>
        <w:t xml:space="preserve">, K. (2019).  Clustering university teaching staff through UTAUT: Implications for the acceptance of a new learning management system. </w:t>
      </w:r>
      <w:r>
        <w:rPr>
          <w:i/>
          <w:iCs/>
        </w:rPr>
        <w:t>British Journal of Educational Technology, 50(5)</w:t>
      </w:r>
      <w:r>
        <w:t xml:space="preserve">, 2466–2483. </w:t>
      </w:r>
      <w:hyperlink r:id="rId21" w:history="1">
        <w:r w:rsidR="008F49AD" w:rsidRPr="00085066">
          <w:rPr>
            <w:rStyle w:val="Hyperlink"/>
          </w:rPr>
          <w:t>https://doi.org/10.1111/bjet.12867</w:t>
        </w:r>
      </w:hyperlink>
    </w:p>
    <w:p w14:paraId="6FB064C5" w14:textId="77777777" w:rsidR="003D1A2C" w:rsidRDefault="003D1A2C" w:rsidP="003D1A2C">
      <w:pPr>
        <w:pStyle w:val="toc"/>
      </w:pPr>
      <w:proofErr w:type="spellStart"/>
      <w:r>
        <w:t>Gharrah</w:t>
      </w:r>
      <w:proofErr w:type="spellEnd"/>
      <w:r>
        <w:t xml:space="preserve">, A. A., &amp; </w:t>
      </w:r>
      <w:proofErr w:type="spellStart"/>
      <w:r>
        <w:t>Aljaafreh</w:t>
      </w:r>
      <w:proofErr w:type="spellEnd"/>
      <w:r>
        <w:t xml:space="preserve">, A. (2021). Why students use social networks for education: Extension of UTAUT2. </w:t>
      </w:r>
      <w:r>
        <w:rPr>
          <w:i/>
          <w:iCs/>
        </w:rPr>
        <w:t>Journal of Technology and Science Education, 11(1)</w:t>
      </w:r>
      <w:r>
        <w:t>, Article 1. https://doi.org/10.3926/jotse.1081</w:t>
      </w:r>
    </w:p>
    <w:p w14:paraId="5D16D14D" w14:textId="519BEC04" w:rsidR="003D1A2C" w:rsidRDefault="003D1A2C" w:rsidP="003D1A2C">
      <w:pPr>
        <w:pStyle w:val="toc"/>
      </w:pPr>
      <w:proofErr w:type="spellStart"/>
      <w:r>
        <w:t>Granić</w:t>
      </w:r>
      <w:proofErr w:type="spellEnd"/>
      <w:r>
        <w:t xml:space="preserve">, A. (2022). Educational Technology Adoption: A systematic review. </w:t>
      </w:r>
      <w:r>
        <w:rPr>
          <w:i/>
          <w:iCs/>
        </w:rPr>
        <w:t>Education and Information Technologies, 27(7)</w:t>
      </w:r>
      <w:r>
        <w:t xml:space="preserve">, 9725–9744. </w:t>
      </w:r>
      <w:hyperlink r:id="rId22" w:history="1">
        <w:r w:rsidR="00F923F1" w:rsidRPr="00085066">
          <w:rPr>
            <w:rStyle w:val="Hyperlink"/>
          </w:rPr>
          <w:t>https://doi.org/10.1007/s10639-022-10951-7</w:t>
        </w:r>
      </w:hyperlink>
    </w:p>
    <w:p w14:paraId="4F685B00" w14:textId="3BC5598A" w:rsidR="003D1A2C" w:rsidRDefault="003D1A2C" w:rsidP="003D1A2C">
      <w:pPr>
        <w:pStyle w:val="toc"/>
      </w:pPr>
      <w:proofErr w:type="spellStart"/>
      <w:r>
        <w:t>Kalinkara</w:t>
      </w:r>
      <w:proofErr w:type="spellEnd"/>
      <w:r>
        <w:t xml:space="preserve">, Y., &amp; Talan, T. (2022). Rethinking Evaluating the Use of Distance Learning Systems in the Context of the Unified Theory of Acceptance and Use of Technology-2. </w:t>
      </w:r>
      <w:r>
        <w:rPr>
          <w:i/>
          <w:iCs/>
        </w:rPr>
        <w:t>Journal of Learning for Development, 9(2)</w:t>
      </w:r>
      <w:r>
        <w:t xml:space="preserve">, Article 2. </w:t>
      </w:r>
      <w:hyperlink r:id="rId23" w:history="1">
        <w:r w:rsidR="00F923F1" w:rsidRPr="00085066">
          <w:rPr>
            <w:rStyle w:val="Hyperlink"/>
          </w:rPr>
          <w:t>https://doi.org/10.56059/jl4d.v9i2.617</w:t>
        </w:r>
      </w:hyperlink>
    </w:p>
    <w:p w14:paraId="7177FBA5" w14:textId="5BDF907D" w:rsidR="003D1A2C" w:rsidRDefault="003D1A2C" w:rsidP="003D1A2C">
      <w:pPr>
        <w:pStyle w:val="toc"/>
      </w:pPr>
      <w:r>
        <w:t xml:space="preserve">Kaushik, M. K., &amp; Verma, D. (2020). Determinants of digital learning acceptance </w:t>
      </w:r>
      <w:proofErr w:type="spellStart"/>
      <w:r>
        <w:t>behavior</w:t>
      </w:r>
      <w:proofErr w:type="spellEnd"/>
      <w:r>
        <w:t xml:space="preserve">: A systematic review of applied theories and implications for higher education. Journal of </w:t>
      </w:r>
      <w:r>
        <w:lastRenderedPageBreak/>
        <w:t xml:space="preserve">Applied Research in Higher Education, 12(4), 659–672. </w:t>
      </w:r>
      <w:hyperlink r:id="rId24" w:history="1">
        <w:r w:rsidR="00F923F1" w:rsidRPr="00085066">
          <w:rPr>
            <w:rStyle w:val="Hyperlink"/>
          </w:rPr>
          <w:t>https://doi.org/10.1108/JARHE-06-2018-0105</w:t>
        </w:r>
      </w:hyperlink>
    </w:p>
    <w:p w14:paraId="22FDD152" w14:textId="77777777" w:rsidR="003D1A2C" w:rsidRDefault="003D1A2C" w:rsidP="003D1A2C">
      <w:pPr>
        <w:pStyle w:val="toc"/>
      </w:pPr>
      <w:r>
        <w:t>Kelly, H. (2014). A Path Analysis of Educator Perceptions of Open Educational Resources Using the Technology Acceptance Model. International Review of Research in Open and Distance Learning, 15(2), 26–42.</w:t>
      </w:r>
    </w:p>
    <w:p w14:paraId="7E53EB4F" w14:textId="6C174392" w:rsidR="003D1A2C" w:rsidRDefault="003D1A2C" w:rsidP="003D1A2C">
      <w:pPr>
        <w:pStyle w:val="toc"/>
      </w:pPr>
      <w:r>
        <w:t xml:space="preserve">Kemp, A., Palmer, E., &amp; </w:t>
      </w:r>
      <w:proofErr w:type="spellStart"/>
      <w:r>
        <w:t>Strelan</w:t>
      </w:r>
      <w:proofErr w:type="spellEnd"/>
      <w:r>
        <w:t xml:space="preserve">, P. (2019). A taxonomy of factors affecting attitudes towards educational technologies for use with technology acceptance models. British Journal of Educational Technology, 50(5), 2394–2413. </w:t>
      </w:r>
      <w:hyperlink r:id="rId25" w:history="1">
        <w:r w:rsidR="00F923F1" w:rsidRPr="00085066">
          <w:rPr>
            <w:rStyle w:val="Hyperlink"/>
          </w:rPr>
          <w:t>https://doi.org/10.1111/bjet.12833</w:t>
        </w:r>
      </w:hyperlink>
    </w:p>
    <w:p w14:paraId="74774290" w14:textId="5A4ACEA4" w:rsidR="003D1A2C" w:rsidRDefault="003D1A2C" w:rsidP="003D1A2C">
      <w:pPr>
        <w:pStyle w:val="toc"/>
      </w:pPr>
      <w:proofErr w:type="spellStart"/>
      <w:r>
        <w:t>Lahrash</w:t>
      </w:r>
      <w:proofErr w:type="spellEnd"/>
      <w:r>
        <w:t xml:space="preserve">, H. A. E., </w:t>
      </w:r>
      <w:proofErr w:type="spellStart"/>
      <w:r>
        <w:t>Elmansori</w:t>
      </w:r>
      <w:proofErr w:type="spellEnd"/>
      <w:r>
        <w:t xml:space="preserve">, M. M., &amp; Salama, M. (2021). Prior Research on the Adoption of E-Learning and UTAUT2 Model: A Critical Analysis. </w:t>
      </w:r>
      <w:r>
        <w:rPr>
          <w:i/>
          <w:iCs/>
        </w:rPr>
        <w:t>I-Manager’s Journal of Educational Technology, 18(1)</w:t>
      </w:r>
      <w:r>
        <w:t xml:space="preserve">, 47–56. </w:t>
      </w:r>
      <w:hyperlink r:id="rId26" w:history="1">
        <w:r w:rsidR="00F923F1" w:rsidRPr="00085066">
          <w:rPr>
            <w:rStyle w:val="Hyperlink"/>
          </w:rPr>
          <w:t>https://doi.org/10.26634/jet.18.1.17857</w:t>
        </w:r>
      </w:hyperlink>
    </w:p>
    <w:p w14:paraId="1E417ABC" w14:textId="1897C08F" w:rsidR="003D1A2C" w:rsidRDefault="003D1A2C" w:rsidP="003D1A2C">
      <w:pPr>
        <w:pStyle w:val="toc"/>
      </w:pPr>
      <w:proofErr w:type="spellStart"/>
      <w:r>
        <w:t>Legris</w:t>
      </w:r>
      <w:proofErr w:type="spellEnd"/>
      <w:r>
        <w:t xml:space="preserve">, P., </w:t>
      </w:r>
      <w:proofErr w:type="spellStart"/>
      <w:r>
        <w:t>Ingham</w:t>
      </w:r>
      <w:proofErr w:type="spellEnd"/>
      <w:r>
        <w:t xml:space="preserve">, J., &amp; </w:t>
      </w:r>
      <w:proofErr w:type="spellStart"/>
      <w:r>
        <w:t>Collerette</w:t>
      </w:r>
      <w:proofErr w:type="spellEnd"/>
      <w:r>
        <w:t xml:space="preserve">, P. (2003). Why do people use information technology? A critical review of the technology acceptance model. Information &amp; Management, 40(3), 191–204. </w:t>
      </w:r>
      <w:hyperlink r:id="rId27" w:history="1">
        <w:r w:rsidR="00F923F1" w:rsidRPr="00085066">
          <w:rPr>
            <w:rStyle w:val="Hyperlink"/>
          </w:rPr>
          <w:t>https://doi.org/10.1016/S0378-7206(01)00143-4</w:t>
        </w:r>
      </w:hyperlink>
    </w:p>
    <w:p w14:paraId="510E51D7" w14:textId="77777777" w:rsidR="003D1A2C" w:rsidRDefault="003D1A2C" w:rsidP="003D1A2C">
      <w:pPr>
        <w:pStyle w:val="toc"/>
      </w:pPr>
      <w:r>
        <w:t xml:space="preserve">Lewis, C. C., </w:t>
      </w:r>
      <w:proofErr w:type="spellStart"/>
      <w:r>
        <w:t>Fretwell</w:t>
      </w:r>
      <w:proofErr w:type="spellEnd"/>
      <w:r>
        <w:t>, C. E., Ryan, J., &amp; Parham, J. B. (2013). Faculty Use of Established and Emerging Technologies in Higher Education: A Unified Theory of Acceptance and Use of Technology Perspective. International Journal of Higher Education, 2(2), 22–34.</w:t>
      </w:r>
    </w:p>
    <w:p w14:paraId="2D669340" w14:textId="3F283E12" w:rsidR="003D1A2C" w:rsidRDefault="003D1A2C" w:rsidP="003D1A2C">
      <w:pPr>
        <w:pStyle w:val="toc"/>
      </w:pPr>
      <w:r>
        <w:t xml:space="preserve">Liu, Q., </w:t>
      </w:r>
      <w:proofErr w:type="spellStart"/>
      <w:r>
        <w:t>Geertshuis</w:t>
      </w:r>
      <w:proofErr w:type="spellEnd"/>
      <w:r>
        <w:t xml:space="preserve">, S., &amp; Grainger, R. (2020). Understanding academics’ adoption of learning technologies: A systematic review. Computers &amp; Education, 151, 103857. </w:t>
      </w:r>
      <w:hyperlink r:id="rId28" w:history="1">
        <w:r w:rsidRPr="00085066">
          <w:rPr>
            <w:rStyle w:val="Hyperlink"/>
          </w:rPr>
          <w:t>https://doi.org/10.1016/j.compedu.2020.103857</w:t>
        </w:r>
      </w:hyperlink>
    </w:p>
    <w:p w14:paraId="532BD88A" w14:textId="6101B9C4" w:rsidR="003D1A2C" w:rsidRDefault="003D1A2C" w:rsidP="003D1A2C">
      <w:pPr>
        <w:pStyle w:val="toc"/>
      </w:pPr>
      <w:proofErr w:type="spellStart"/>
      <w:r>
        <w:t>Machajewski</w:t>
      </w:r>
      <w:proofErr w:type="spellEnd"/>
      <w:r>
        <w:t xml:space="preserve">, S., Steffen, A., Romero </w:t>
      </w:r>
      <w:proofErr w:type="spellStart"/>
      <w:r>
        <w:t>Fuerte</w:t>
      </w:r>
      <w:proofErr w:type="spellEnd"/>
      <w:r>
        <w:t xml:space="preserve">, E., &amp; Rivera, E. (2019).  Patterns in Faculty Learning Management System Use. </w:t>
      </w:r>
      <w:proofErr w:type="spellStart"/>
      <w:r>
        <w:rPr>
          <w:i/>
          <w:iCs/>
        </w:rPr>
        <w:t>TechTrends</w:t>
      </w:r>
      <w:proofErr w:type="spellEnd"/>
      <w:r>
        <w:rPr>
          <w:i/>
          <w:iCs/>
        </w:rPr>
        <w:t>: Linking Research &amp; Practice to Improve Learning, 63(5)</w:t>
      </w:r>
      <w:r>
        <w:t xml:space="preserve">, 543–549. </w:t>
      </w:r>
      <w:hyperlink r:id="rId29" w:history="1">
        <w:r w:rsidRPr="00085066">
          <w:rPr>
            <w:rStyle w:val="Hyperlink"/>
          </w:rPr>
          <w:t>https://doi.org/10.1007/s11528-018-0327-0</w:t>
        </w:r>
      </w:hyperlink>
    </w:p>
    <w:p w14:paraId="541EFB40" w14:textId="0CD9C8D6" w:rsidR="003D1A2C" w:rsidRDefault="003D1A2C" w:rsidP="003D1A2C">
      <w:pPr>
        <w:pStyle w:val="toc"/>
      </w:pPr>
      <w:proofErr w:type="spellStart"/>
      <w:r>
        <w:lastRenderedPageBreak/>
        <w:t>Marangunić</w:t>
      </w:r>
      <w:proofErr w:type="spellEnd"/>
      <w:r>
        <w:t xml:space="preserve">, N., &amp; </w:t>
      </w:r>
      <w:proofErr w:type="spellStart"/>
      <w:r>
        <w:t>Granić</w:t>
      </w:r>
      <w:proofErr w:type="spellEnd"/>
      <w:r>
        <w:t xml:space="preserve">, A. (2015). Technology acceptance model: A literature review from 1986 to 2013. </w:t>
      </w:r>
      <w:r>
        <w:rPr>
          <w:i/>
          <w:iCs/>
        </w:rPr>
        <w:t>Universal Access in the Information Society, 14(1)</w:t>
      </w:r>
      <w:r>
        <w:t xml:space="preserve">, 81–95. </w:t>
      </w:r>
      <w:hyperlink r:id="rId30" w:history="1">
        <w:r w:rsidRPr="00085066">
          <w:rPr>
            <w:rStyle w:val="Hyperlink"/>
          </w:rPr>
          <w:t>https://doi.org/10.1007/s10209-014-0348-1</w:t>
        </w:r>
      </w:hyperlink>
    </w:p>
    <w:p w14:paraId="4399AD47" w14:textId="2CE27883" w:rsidR="003D1A2C" w:rsidRDefault="003D1A2C" w:rsidP="003D1A2C">
      <w:pPr>
        <w:pStyle w:val="toc"/>
      </w:pPr>
      <w:r>
        <w:t xml:space="preserve">Martin, F., </w:t>
      </w:r>
      <w:proofErr w:type="spellStart"/>
      <w:r>
        <w:t>Budhrani</w:t>
      </w:r>
      <w:proofErr w:type="spellEnd"/>
      <w:r>
        <w:t xml:space="preserve">, K., &amp; Wang, C. (2019). Examining Faculty Perception of Their Readiness to Teach Online. </w:t>
      </w:r>
      <w:r>
        <w:rPr>
          <w:i/>
          <w:iCs/>
        </w:rPr>
        <w:t>Online Learning, 23(3)</w:t>
      </w:r>
      <w:r>
        <w:t xml:space="preserve">, Article 3. </w:t>
      </w:r>
      <w:hyperlink r:id="rId31" w:history="1">
        <w:r w:rsidRPr="00085066">
          <w:rPr>
            <w:rStyle w:val="Hyperlink"/>
          </w:rPr>
          <w:t>https://doi.org/10.24059/olj.v23i3.1555</w:t>
        </w:r>
      </w:hyperlink>
    </w:p>
    <w:p w14:paraId="79994D43" w14:textId="75F57434" w:rsidR="003D1A2C" w:rsidRDefault="003D1A2C" w:rsidP="003D1A2C">
      <w:pPr>
        <w:pStyle w:val="toc"/>
      </w:pPr>
      <w:r>
        <w:t>Martínez-Gómez, M., Bustamante, E., &amp; Berna-</w:t>
      </w:r>
      <w:proofErr w:type="spellStart"/>
      <w:r>
        <w:t>Escriche</w:t>
      </w:r>
      <w:proofErr w:type="spellEnd"/>
      <w:r>
        <w:t xml:space="preserve">, C. (2022). Development and Validation of an E-Learning Education Model in the COVID-19 Pandemic: A Case Study in Secondary Education. </w:t>
      </w:r>
      <w:r>
        <w:rPr>
          <w:i/>
          <w:iCs/>
        </w:rPr>
        <w:t>Sustainability, 14(20)</w:t>
      </w:r>
      <w:r>
        <w:t xml:space="preserve">, Article 20. </w:t>
      </w:r>
      <w:hyperlink r:id="rId32" w:history="1">
        <w:r w:rsidRPr="00085066">
          <w:rPr>
            <w:rStyle w:val="Hyperlink"/>
          </w:rPr>
          <w:t>https://doi.org/10.3390/su142013261</w:t>
        </w:r>
      </w:hyperlink>
    </w:p>
    <w:p w14:paraId="093606B1" w14:textId="0FE9BE60" w:rsidR="003D1A2C" w:rsidRDefault="003D1A2C" w:rsidP="003D1A2C">
      <w:pPr>
        <w:pStyle w:val="toc"/>
      </w:pPr>
      <w:proofErr w:type="spellStart"/>
      <w:r>
        <w:t>Mouakket</w:t>
      </w:r>
      <w:proofErr w:type="spellEnd"/>
      <w:r>
        <w:t xml:space="preserve">, S., &amp; </w:t>
      </w:r>
      <w:proofErr w:type="spellStart"/>
      <w:r>
        <w:t>Bettayeb</w:t>
      </w:r>
      <w:proofErr w:type="spellEnd"/>
      <w:r>
        <w:t xml:space="preserve">, A. (2015). Investigating the factors influencing continuance usage intention of Learning management systems by university instructors. </w:t>
      </w:r>
      <w:r>
        <w:rPr>
          <w:i/>
          <w:iCs/>
        </w:rPr>
        <w:t>International Journal of Web Information Systems, 11</w:t>
      </w:r>
      <w:r>
        <w:t xml:space="preserve">, 491–509. </w:t>
      </w:r>
      <w:hyperlink r:id="rId33" w:history="1">
        <w:r w:rsidRPr="00085066">
          <w:rPr>
            <w:rStyle w:val="Hyperlink"/>
          </w:rPr>
          <w:t>https://doi.org/10.1108/IJWIS-03-2015-0008</w:t>
        </w:r>
      </w:hyperlink>
    </w:p>
    <w:p w14:paraId="78AB77CF" w14:textId="77777777" w:rsidR="003D1A2C" w:rsidRDefault="003D1A2C" w:rsidP="003D1A2C">
      <w:pPr>
        <w:pStyle w:val="toc"/>
      </w:pPr>
      <w:r>
        <w:t xml:space="preserve">Raman, A., &amp; Don, Y. (2013). Preservice Teachers’ Acceptance of Learning Management Software: An Application of the UTAUT2 Model. </w:t>
      </w:r>
      <w:r>
        <w:rPr>
          <w:i/>
          <w:iCs/>
        </w:rPr>
        <w:t>International Education Studies, 6(7)</w:t>
      </w:r>
      <w:r>
        <w:t>, 157–164.</w:t>
      </w:r>
    </w:p>
    <w:p w14:paraId="6520334A" w14:textId="2FEBF86E" w:rsidR="003D1A2C" w:rsidRDefault="003D1A2C" w:rsidP="003D1A2C">
      <w:pPr>
        <w:pStyle w:val="toc"/>
      </w:pPr>
      <w:proofErr w:type="spellStart"/>
      <w:r>
        <w:t>Rovai</w:t>
      </w:r>
      <w:proofErr w:type="spellEnd"/>
      <w:r>
        <w:t xml:space="preserve">, A. P., &amp; Downey, J. R. (2010). Why some distance education programs fail while others succeed in a global environment. The Internet and Higher Education, 13(3), 141–147. </w:t>
      </w:r>
      <w:hyperlink r:id="rId34" w:history="1">
        <w:r w:rsidRPr="00085066">
          <w:rPr>
            <w:rStyle w:val="Hyperlink"/>
          </w:rPr>
          <w:t>https://doi.org/10.1016/j.iheduc.2009.07.001</w:t>
        </w:r>
      </w:hyperlink>
    </w:p>
    <w:p w14:paraId="1F5C77B9" w14:textId="01B34D14" w:rsidR="003D1A2C" w:rsidRDefault="003D1A2C" w:rsidP="003D1A2C">
      <w:pPr>
        <w:pStyle w:val="toc"/>
      </w:pPr>
      <w:proofErr w:type="spellStart"/>
      <w:r>
        <w:t>Salloum</w:t>
      </w:r>
      <w:proofErr w:type="spellEnd"/>
      <w:r>
        <w:t xml:space="preserve">, S. A., Al-Emran, M., </w:t>
      </w:r>
      <w:proofErr w:type="spellStart"/>
      <w:r>
        <w:t>Habes</w:t>
      </w:r>
      <w:proofErr w:type="spellEnd"/>
      <w:r>
        <w:t xml:space="preserve">, M., </w:t>
      </w:r>
      <w:proofErr w:type="spellStart"/>
      <w:r>
        <w:t>Alghizzawi</w:t>
      </w:r>
      <w:proofErr w:type="spellEnd"/>
      <w:r>
        <w:t xml:space="preserve">, M., Ghani, M. Abd., &amp; </w:t>
      </w:r>
      <w:proofErr w:type="spellStart"/>
      <w:r>
        <w:t>Shaalan</w:t>
      </w:r>
      <w:proofErr w:type="spellEnd"/>
      <w:r>
        <w:t xml:space="preserve">, K. (2021). What Impacts the Acceptance of E-learning Through </w:t>
      </w:r>
      <w:proofErr w:type="gramStart"/>
      <w:r>
        <w:t>Social Media</w:t>
      </w:r>
      <w:proofErr w:type="gramEnd"/>
      <w:r>
        <w:t xml:space="preserve">? An Empirical Study. In M. Al-Emran &amp; K. </w:t>
      </w:r>
      <w:proofErr w:type="spellStart"/>
      <w:r>
        <w:t>Shaalan</w:t>
      </w:r>
      <w:proofErr w:type="spellEnd"/>
      <w:r>
        <w:t xml:space="preserve"> (Eds.), Recent Advances in Technology Acceptance Models </w:t>
      </w:r>
      <w:r>
        <w:lastRenderedPageBreak/>
        <w:t xml:space="preserve">and Theories (Vol. 335, pp. 419–431). Springer International Publishing. </w:t>
      </w:r>
      <w:hyperlink r:id="rId35" w:history="1">
        <w:r w:rsidRPr="00085066">
          <w:rPr>
            <w:rStyle w:val="Hyperlink"/>
          </w:rPr>
          <w:t>https://doi.org/10.1007/978-3-030-64987-6_24</w:t>
        </w:r>
      </w:hyperlink>
    </w:p>
    <w:p w14:paraId="3969C5E1" w14:textId="77777777" w:rsidR="003D1A2C" w:rsidRDefault="003D1A2C" w:rsidP="003D1A2C">
      <w:pPr>
        <w:pStyle w:val="toc"/>
      </w:pPr>
      <w:r>
        <w:t>Saltmarsh, S., &amp; Sutherland-Smith, W. (2010). S(t)</w:t>
      </w:r>
      <w:proofErr w:type="spellStart"/>
      <w:r>
        <w:t>imulating</w:t>
      </w:r>
      <w:proofErr w:type="spellEnd"/>
      <w:r>
        <w:t xml:space="preserve"> learning: Pedagogy, </w:t>
      </w:r>
      <w:proofErr w:type="gramStart"/>
      <w:r>
        <w:t>subjectivity</w:t>
      </w:r>
      <w:proofErr w:type="gramEnd"/>
      <w:r>
        <w:t xml:space="preserve"> and teacher education in online environments. London Review of Education. https://doi.org/10.1080/14748460903557613</w:t>
      </w:r>
    </w:p>
    <w:p w14:paraId="29D92221" w14:textId="2120A919" w:rsidR="003D1A2C" w:rsidRDefault="003D1A2C" w:rsidP="003D1A2C">
      <w:pPr>
        <w:pStyle w:val="toc"/>
      </w:pPr>
      <w:r>
        <w:t xml:space="preserve">Scherer, R., &amp; Teo, T. (2019). Unpacking teachers’ intentions to integrate technology: A meta-analysis. </w:t>
      </w:r>
      <w:r>
        <w:rPr>
          <w:i/>
          <w:iCs/>
        </w:rPr>
        <w:t>Educational Research Review, 27</w:t>
      </w:r>
      <w:r>
        <w:t xml:space="preserve">, 90–109. </w:t>
      </w:r>
      <w:hyperlink r:id="rId36" w:history="1">
        <w:r w:rsidRPr="00085066">
          <w:rPr>
            <w:rStyle w:val="Hyperlink"/>
          </w:rPr>
          <w:t>https://doi.org/10.1016/j.edurev.2019.03.001</w:t>
        </w:r>
      </w:hyperlink>
    </w:p>
    <w:p w14:paraId="09FF1A38" w14:textId="2FBC3727" w:rsidR="003D1A2C" w:rsidRDefault="003D1A2C" w:rsidP="003D1A2C">
      <w:pPr>
        <w:pStyle w:val="toc"/>
      </w:pPr>
      <w:r>
        <w:t xml:space="preserve">Straub, E. T. (2009). Understanding Technology Adoption: Theory and Future Directions for Informal Learning. Review of Educational Research, 79(2), 625–649. </w:t>
      </w:r>
      <w:hyperlink r:id="rId37" w:history="1">
        <w:r w:rsidRPr="00085066">
          <w:rPr>
            <w:rStyle w:val="Hyperlink"/>
          </w:rPr>
          <w:t>https://doi.org/10.3102/0034654308325896</w:t>
        </w:r>
      </w:hyperlink>
    </w:p>
    <w:p w14:paraId="1A9D7BBC" w14:textId="49218F7A" w:rsidR="003D1A2C" w:rsidRDefault="003D1A2C" w:rsidP="003D1A2C">
      <w:pPr>
        <w:pStyle w:val="toc"/>
      </w:pPr>
      <w:r>
        <w:t xml:space="preserve">Teo, T., &amp; Noyes, J. (2011). An assessment of the influence of perceived enjoyment and attitude on the intention to use technology among pre-service teachers: A structural equation </w:t>
      </w:r>
      <w:proofErr w:type="spellStart"/>
      <w:r>
        <w:t>modeling</w:t>
      </w:r>
      <w:proofErr w:type="spellEnd"/>
      <w:r>
        <w:t xml:space="preserve"> approach. Computers &amp; Education, 57(2), 1645–1653. </w:t>
      </w:r>
      <w:hyperlink r:id="rId38" w:history="1">
        <w:r w:rsidRPr="00085066">
          <w:rPr>
            <w:rStyle w:val="Hyperlink"/>
          </w:rPr>
          <w:t>https://doi.org/10.1016/j.compedu.2011.03.002</w:t>
        </w:r>
      </w:hyperlink>
    </w:p>
    <w:p w14:paraId="26A0A747" w14:textId="7C195FBD" w:rsidR="003D1A2C" w:rsidRDefault="003D1A2C" w:rsidP="003D1A2C">
      <w:pPr>
        <w:pStyle w:val="toc"/>
      </w:pPr>
      <w:r>
        <w:t>UNESCO. (n.d.) Education: From school closure to recovery</w:t>
      </w:r>
      <w:proofErr w:type="gramStart"/>
      <w:r>
        <w:t>. .</w:t>
      </w:r>
      <w:proofErr w:type="gramEnd"/>
      <w:r>
        <w:t xml:space="preserve"> Retrieved December 21, 2022, from </w:t>
      </w:r>
      <w:hyperlink r:id="rId39" w:history="1">
        <w:r w:rsidRPr="00085066">
          <w:rPr>
            <w:rStyle w:val="Hyperlink"/>
          </w:rPr>
          <w:t>https://www.unesco.org/en/covid-19/education-response</w:t>
        </w:r>
      </w:hyperlink>
    </w:p>
    <w:p w14:paraId="7C3E094F" w14:textId="5E33D850" w:rsidR="003D1A2C" w:rsidRDefault="003D1A2C" w:rsidP="003D1A2C">
      <w:pPr>
        <w:pStyle w:val="toc"/>
      </w:pPr>
      <w:r>
        <w:t xml:space="preserve">Venkatesh, V., Thong, J. Y. L., &amp; Xu, X. (2012). Consumer Acceptance and Use of Information Technology: Extending the Unified Theory of Acceptance and Use of Technology. </w:t>
      </w:r>
      <w:r>
        <w:rPr>
          <w:i/>
          <w:iCs/>
        </w:rPr>
        <w:t>MIS Quarterly, 36(1)</w:t>
      </w:r>
      <w:r>
        <w:t xml:space="preserve">, 157–178. </w:t>
      </w:r>
      <w:hyperlink r:id="rId40" w:history="1">
        <w:r w:rsidRPr="00085066">
          <w:rPr>
            <w:rStyle w:val="Hyperlink"/>
          </w:rPr>
          <w:t>https://doi.org/10.2307/41410412</w:t>
        </w:r>
      </w:hyperlink>
    </w:p>
    <w:p w14:paraId="72F81694" w14:textId="77777777" w:rsidR="003D1A2C" w:rsidRDefault="003D1A2C" w:rsidP="003D1A2C">
      <w:pPr>
        <w:pStyle w:val="toc"/>
      </w:pPr>
      <w:r>
        <w:t xml:space="preserve">Venkatesh, V., Morris, M. G., Davis, G. B., &amp; Davis, F. D. (2003). User acceptance of information technology: Toward a unified view1. </w:t>
      </w:r>
      <w:r>
        <w:rPr>
          <w:i/>
          <w:iCs/>
        </w:rPr>
        <w:t>MIS Quarterly, 27(3)</w:t>
      </w:r>
      <w:r>
        <w:t>, 425–478.</w:t>
      </w:r>
    </w:p>
    <w:p w14:paraId="328727C6" w14:textId="77777777" w:rsidR="003D1A2C" w:rsidRDefault="003D1A2C" w:rsidP="003D1A2C">
      <w:pPr>
        <w:pStyle w:val="toc"/>
      </w:pPr>
      <w:r>
        <w:lastRenderedPageBreak/>
        <w:t xml:space="preserve">Walker, D. S., Lindner, J. R., </w:t>
      </w:r>
      <w:proofErr w:type="spellStart"/>
      <w:r>
        <w:t>Murphrey</w:t>
      </w:r>
      <w:proofErr w:type="spellEnd"/>
      <w:r>
        <w:t xml:space="preserve">, T. P., &amp; Dooley, K. (2016). Learning management system usage: Perspectives from university instructors. </w:t>
      </w:r>
      <w:r>
        <w:rPr>
          <w:i/>
          <w:iCs/>
        </w:rPr>
        <w:t>Quarterly Review of Distance Education, 17(2)</w:t>
      </w:r>
      <w:r>
        <w:t>, 41–51.</w:t>
      </w:r>
    </w:p>
    <w:p w14:paraId="060DA216" w14:textId="30474566" w:rsidR="003D1A2C" w:rsidRDefault="003D1A2C" w:rsidP="003D1A2C">
      <w:pPr>
        <w:pStyle w:val="toc"/>
      </w:pPr>
      <w:r>
        <w:t xml:space="preserve">Wingo, N. P., </w:t>
      </w:r>
      <w:proofErr w:type="spellStart"/>
      <w:r>
        <w:t>Ivankova</w:t>
      </w:r>
      <w:proofErr w:type="spellEnd"/>
      <w:r>
        <w:t xml:space="preserve">, N. V., &amp; Moss, J. A. (2017). Faculty Perceptions about Teaching Online: Exploring the Literature Using the Technology Acceptance Model as an Organizing Framework. </w:t>
      </w:r>
      <w:r>
        <w:rPr>
          <w:i/>
          <w:iCs/>
        </w:rPr>
        <w:t>Online Learning, 21(1)</w:t>
      </w:r>
      <w:r>
        <w:t xml:space="preserve">, Article 1. </w:t>
      </w:r>
      <w:hyperlink r:id="rId41" w:history="1">
        <w:r w:rsidR="00322B6C" w:rsidRPr="002F63FF">
          <w:rPr>
            <w:rStyle w:val="Hyperlink"/>
          </w:rPr>
          <w:t>https://doi.org/10.24059/olj.v21i1.761</w:t>
        </w:r>
      </w:hyperlink>
    </w:p>
    <w:p w14:paraId="540FE096" w14:textId="264D49C5" w:rsidR="003D1A2C" w:rsidRDefault="003D1A2C" w:rsidP="003D1A2C">
      <w:pPr>
        <w:pStyle w:val="toc"/>
      </w:pPr>
      <w:r>
        <w:t xml:space="preserve">Yi, M. Y., &amp; Hwang, Y. (2003). Predicting the use of web-based information systems: Self-efficacy, enjoyment, learning goal orientation, and the technology acceptance model. International Journal of Human-Computer Studies, 59(4), 431–449. </w:t>
      </w:r>
      <w:hyperlink r:id="rId42" w:history="1">
        <w:r w:rsidRPr="00085066">
          <w:rPr>
            <w:rStyle w:val="Hyperlink"/>
          </w:rPr>
          <w:t>https://doi.org/10.1016/S1071-5819(03)00114-9</w:t>
        </w:r>
      </w:hyperlink>
    </w:p>
    <w:p w14:paraId="7E46B7E2" w14:textId="0676D477" w:rsidR="003D1A2C" w:rsidRDefault="003D1A2C" w:rsidP="003D1A2C">
      <w:pPr>
        <w:pStyle w:val="toc"/>
      </w:pPr>
      <w:proofErr w:type="spellStart"/>
      <w:r w:rsidRPr="003D1A2C">
        <w:t>Zanjani</w:t>
      </w:r>
      <w:proofErr w:type="spellEnd"/>
      <w:r w:rsidRPr="003D1A2C">
        <w:t xml:space="preserve">, N., Edwards, S. L., </w:t>
      </w:r>
      <w:proofErr w:type="spellStart"/>
      <w:r w:rsidRPr="003D1A2C">
        <w:t>Nykvist</w:t>
      </w:r>
      <w:proofErr w:type="spellEnd"/>
      <w:r w:rsidRPr="003D1A2C">
        <w:t xml:space="preserve">, S., &amp; </w:t>
      </w:r>
      <w:proofErr w:type="spellStart"/>
      <w:r w:rsidRPr="003D1A2C">
        <w:t>Geva</w:t>
      </w:r>
      <w:proofErr w:type="spellEnd"/>
      <w:r w:rsidRPr="003D1A2C">
        <w:t xml:space="preserve">, S. (2017). The important elements of LMS design that affect user engagement with e-learning tools within LMSs in the higher education sector. Australasian Journal of Educational Technology, 33(1), 19–31. </w:t>
      </w:r>
      <w:hyperlink r:id="rId43" w:history="1">
        <w:r w:rsidRPr="00085066">
          <w:rPr>
            <w:rStyle w:val="Hyperlink"/>
          </w:rPr>
          <w:t>https://doi.org/10.14742/ajet.2938</w:t>
        </w:r>
      </w:hyperlink>
    </w:p>
    <w:p w14:paraId="6601E1FB" w14:textId="77777777" w:rsidR="003D1A2C" w:rsidRDefault="003D1A2C" w:rsidP="003D1A2C">
      <w:pPr>
        <w:pStyle w:val="toc"/>
      </w:pPr>
    </w:p>
    <w:p w14:paraId="382CFC0B" w14:textId="77777777" w:rsidR="003D1A2C" w:rsidRDefault="003D1A2C" w:rsidP="003D1A2C">
      <w:pPr>
        <w:pStyle w:val="toc"/>
      </w:pPr>
    </w:p>
    <w:p w14:paraId="0E7D2FB5" w14:textId="59C9F700" w:rsidR="003D1A2C" w:rsidRDefault="003D1A2C" w:rsidP="003D1A2C">
      <w:pPr>
        <w:spacing w:line="480" w:lineRule="auto"/>
        <w:sectPr w:rsidR="003D1A2C" w:rsidSect="00571ABF">
          <w:pgSz w:w="12240" w:h="15840"/>
          <w:pgMar w:top="1440" w:right="1440" w:bottom="1440" w:left="1440" w:header="720" w:footer="720" w:gutter="0"/>
          <w:cols w:space="720"/>
          <w:noEndnote/>
        </w:sectPr>
      </w:pPr>
    </w:p>
    <w:p w14:paraId="7AF98CF7" w14:textId="77777777" w:rsidR="003D1A2C" w:rsidRDefault="003D1A2C" w:rsidP="003D1A2C">
      <w:pPr>
        <w:pStyle w:val="toc"/>
        <w:jc w:val="center"/>
        <w:rPr>
          <w:b/>
          <w:bCs/>
        </w:rPr>
      </w:pPr>
      <w:r>
        <w:rPr>
          <w:b/>
          <w:bCs/>
        </w:rPr>
        <w:lastRenderedPageBreak/>
        <w:t>My Vision Quest</w:t>
      </w:r>
    </w:p>
    <w:p w14:paraId="52A1D30B" w14:textId="77777777" w:rsidR="003D1A2C" w:rsidRDefault="003D1A2C" w:rsidP="003D1A2C">
      <w:pPr>
        <w:pStyle w:val="toc"/>
        <w:ind w:left="0" w:firstLine="720"/>
      </w:pPr>
      <w:r>
        <w:t xml:space="preserve">The positive energies I experienced with my class, using mobile devices to upload answers, I </w:t>
      </w:r>
      <w:proofErr w:type="gramStart"/>
      <w:r>
        <w:t>using</w:t>
      </w:r>
      <w:proofErr w:type="gramEnd"/>
      <w:r>
        <w:t xml:space="preserve"> my digital literacy skills to beam a </w:t>
      </w:r>
      <w:proofErr w:type="spellStart"/>
      <w:r>
        <w:t>colorful</w:t>
      </w:r>
      <w:proofErr w:type="spellEnd"/>
      <w:r>
        <w:t xml:space="preserve"> spreadsheet of results across the front wall a little later, students walking up to it, surely this is social experience.  I have done the same activities with my Zoom classes, but obviously, no wall.  Still, subjectively, anecdotally, I still believe I observed evidence of positive motivations, both knowing ahead of time that your Breakout Group’s work will be uploaded to the LMS, and the anticipation of seeing your work being assessed in real time.  </w:t>
      </w:r>
    </w:p>
    <w:p w14:paraId="252A3BD1" w14:textId="77777777" w:rsidR="003D1A2C" w:rsidRDefault="003D1A2C" w:rsidP="003D1A2C">
      <w:pPr>
        <w:pStyle w:val="toc"/>
        <w:ind w:left="0" w:firstLine="720"/>
      </w:pPr>
      <w:r>
        <w:t>Find academic words for the following:</w:t>
      </w:r>
    </w:p>
    <w:p w14:paraId="60458D33" w14:textId="77777777" w:rsidR="003D1A2C" w:rsidRDefault="003D1A2C" w:rsidP="003D1A2C">
      <w:pPr>
        <w:pStyle w:val="toc"/>
        <w:ind w:left="0" w:firstLine="720"/>
      </w:pPr>
    </w:p>
    <w:p w14:paraId="6746DA48" w14:textId="77777777" w:rsidR="003D1A2C" w:rsidRDefault="003D1A2C" w:rsidP="003D1A2C">
      <w:pPr>
        <w:pStyle w:val="toc"/>
        <w:ind w:left="0" w:firstLine="720"/>
      </w:pPr>
      <w:r>
        <w:t>LMS instructors</w:t>
      </w:r>
    </w:p>
    <w:p w14:paraId="2430E68E" w14:textId="77777777" w:rsidR="003D1A2C" w:rsidRDefault="003D1A2C" w:rsidP="003D1A2C">
      <w:pPr>
        <w:pStyle w:val="toc"/>
        <w:ind w:left="0" w:firstLine="720"/>
      </w:pPr>
    </w:p>
    <w:p w14:paraId="0309ACBB" w14:textId="77777777" w:rsidR="003D1A2C" w:rsidRDefault="003D1A2C" w:rsidP="003D1A2C">
      <w:pPr>
        <w:pStyle w:val="toc"/>
        <w:ind w:left="0" w:firstLine="720"/>
      </w:pPr>
      <w:r>
        <w:t>using web metrics</w:t>
      </w:r>
    </w:p>
    <w:p w14:paraId="25343EED" w14:textId="77777777" w:rsidR="003D1A2C" w:rsidRDefault="003D1A2C" w:rsidP="003D1A2C">
      <w:pPr>
        <w:pStyle w:val="toc"/>
        <w:ind w:left="0" w:firstLine="720"/>
      </w:pPr>
      <w:r>
        <w:t>on the backend</w:t>
      </w:r>
    </w:p>
    <w:p w14:paraId="605EDE65" w14:textId="77777777" w:rsidR="003D1A2C" w:rsidRDefault="003D1A2C" w:rsidP="003D1A2C">
      <w:pPr>
        <w:pStyle w:val="toc"/>
        <w:ind w:left="0" w:firstLine="720"/>
      </w:pPr>
      <w:r>
        <w:t>to ply our trade</w:t>
      </w:r>
    </w:p>
    <w:p w14:paraId="3286A06F" w14:textId="77777777" w:rsidR="003D1A2C" w:rsidRDefault="003D1A2C" w:rsidP="003D1A2C">
      <w:pPr>
        <w:pStyle w:val="toc"/>
        <w:ind w:left="0" w:firstLine="720"/>
      </w:pPr>
    </w:p>
    <w:p w14:paraId="71C590B2" w14:textId="77777777" w:rsidR="003D1A2C" w:rsidRDefault="003D1A2C" w:rsidP="003D1A2C">
      <w:pPr>
        <w:pStyle w:val="toc"/>
        <w:ind w:left="0" w:firstLine="720"/>
      </w:pPr>
      <w:r>
        <w:t>downloading students’ uploaded answers</w:t>
      </w:r>
    </w:p>
    <w:p w14:paraId="434CFCB7" w14:textId="77777777" w:rsidR="003D1A2C" w:rsidRDefault="003D1A2C" w:rsidP="003D1A2C">
      <w:pPr>
        <w:pStyle w:val="toc"/>
        <w:ind w:left="0" w:firstLine="720"/>
      </w:pPr>
      <w:r>
        <w:t>uploading a graphic of assessments</w:t>
      </w:r>
    </w:p>
    <w:p w14:paraId="7B87E2A7" w14:textId="77777777" w:rsidR="003D1A2C" w:rsidRDefault="003D1A2C" w:rsidP="003D1A2C">
      <w:pPr>
        <w:pStyle w:val="toc"/>
        <w:ind w:left="0" w:firstLine="720"/>
      </w:pPr>
      <w:r>
        <w:t>15 minutes later</w:t>
      </w:r>
    </w:p>
    <w:p w14:paraId="270F0945" w14:textId="77777777" w:rsidR="003D1A2C" w:rsidRDefault="003D1A2C" w:rsidP="003D1A2C">
      <w:pPr>
        <w:pStyle w:val="toc"/>
        <w:ind w:left="0" w:firstLine="720"/>
      </w:pPr>
      <w:r>
        <w:t>running to the wall</w:t>
      </w:r>
    </w:p>
    <w:p w14:paraId="06E3656D" w14:textId="77777777" w:rsidR="003D1A2C" w:rsidRDefault="003D1A2C" w:rsidP="003D1A2C">
      <w:pPr>
        <w:pStyle w:val="toc"/>
        <w:ind w:left="0" w:firstLine="720"/>
      </w:pPr>
    </w:p>
    <w:p w14:paraId="1C54FD5F" w14:textId="77777777" w:rsidR="003D1A2C" w:rsidRDefault="003D1A2C" w:rsidP="003D1A2C">
      <w:pPr>
        <w:pStyle w:val="toc"/>
        <w:ind w:left="0" w:firstLine="720"/>
        <w:sectPr w:rsidR="003D1A2C" w:rsidSect="003D1A2C">
          <w:pgSz w:w="12240" w:h="15840"/>
          <w:pgMar w:top="1440" w:right="1440" w:bottom="1440" w:left="1440" w:header="720" w:footer="720" w:gutter="0"/>
          <w:cols w:space="720"/>
          <w:noEndnote/>
        </w:sectPr>
      </w:pPr>
      <w:r>
        <w:t>this is my vision quest.</w:t>
      </w:r>
    </w:p>
    <w:p w14:paraId="6DD79796"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b/>
          <w:bCs/>
          <w:color w:val="000000"/>
          <w:lang w:val="en-GB"/>
        </w:rPr>
      </w:pPr>
      <w:r w:rsidRPr="003D1A2C">
        <w:rPr>
          <w:rFonts w:ascii="Georgia" w:hAnsi="Georgia" w:cs="Georgia"/>
          <w:b/>
          <w:bCs/>
          <w:color w:val="000000"/>
          <w:lang w:val="en-GB"/>
        </w:rPr>
        <w:lastRenderedPageBreak/>
        <w:t>Appendix B – Search Terms</w:t>
      </w:r>
    </w:p>
    <w:p w14:paraId="02DF3AF3"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Learning Management System (LMS)</w:t>
      </w:r>
    </w:p>
    <w:p w14:paraId="48E52DA8"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Technology Acceptance Model (TAM)</w:t>
      </w:r>
    </w:p>
    <w:p w14:paraId="1B155469"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Unified Theory of Acceptance and Use of Technology (UTAUT)</w:t>
      </w:r>
    </w:p>
    <w:p w14:paraId="1C540A7A"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Hedonic Motivations Fun Pleasure Enjoy</w:t>
      </w:r>
    </w:p>
    <w:p w14:paraId="5F22A4FD"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Educator, Faculty, Instructor, Teacher (not students)</w:t>
      </w:r>
    </w:p>
    <w:p w14:paraId="4F20605E"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r w:rsidRPr="003D1A2C">
        <w:rPr>
          <w:rFonts w:ascii="Georgia" w:hAnsi="Georgia" w:cs="Georgia"/>
          <w:color w:val="000000"/>
          <w:lang w:val="en-GB"/>
        </w:rPr>
        <w:t>Response to COVID-19 Pandemic</w:t>
      </w:r>
    </w:p>
    <w:p w14:paraId="281DC38D"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p w14:paraId="18E3C40E"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 xml:space="preserve">I primarily used CLIO for my searches, as it evidently possesses a much larger database of academic articles than the </w:t>
      </w:r>
      <w:proofErr w:type="spellStart"/>
      <w:r w:rsidRPr="003D1A2C">
        <w:rPr>
          <w:rFonts w:ascii="Georgia" w:hAnsi="Georgia" w:cs="Georgia"/>
          <w:color w:val="000000"/>
          <w:lang w:val="en-GB"/>
        </w:rPr>
        <w:t>Gottesman</w:t>
      </w:r>
      <w:proofErr w:type="spellEnd"/>
      <w:r w:rsidRPr="003D1A2C">
        <w:rPr>
          <w:rFonts w:ascii="Georgia" w:hAnsi="Georgia" w:cs="Georgia"/>
          <w:color w:val="000000"/>
          <w:lang w:val="en-GB"/>
        </w:rPr>
        <w:t xml:space="preserve"> Library website does.  I did not use Google Scholar at all, for personal reasons including lack of time to learn yet more online applications, and my general dislike of Google.  </w:t>
      </w:r>
    </w:p>
    <w:p w14:paraId="492E4025" w14:textId="77777777" w:rsidR="003D1A2C" w:rsidRDefault="003D1A2C" w:rsidP="003D1A2C">
      <w:pPr>
        <w:pStyle w:val="toc"/>
        <w:ind w:left="0" w:firstLine="720"/>
        <w:sectPr w:rsidR="003D1A2C" w:rsidSect="003D1A2C">
          <w:pgSz w:w="12240" w:h="15840"/>
          <w:pgMar w:top="1440" w:right="1440" w:bottom="1440" w:left="1440" w:header="720" w:footer="720" w:gutter="0"/>
          <w:cols w:space="720"/>
          <w:noEndnote/>
        </w:sectPr>
      </w:pPr>
    </w:p>
    <w:p w14:paraId="3C59657B"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b/>
          <w:bCs/>
          <w:color w:val="000000"/>
          <w:lang w:val="en-GB"/>
        </w:rPr>
      </w:pPr>
      <w:r w:rsidRPr="003D1A2C">
        <w:rPr>
          <w:rFonts w:ascii="Georgia" w:hAnsi="Georgia" w:cs="Georgia"/>
          <w:b/>
          <w:bCs/>
          <w:color w:val="000000"/>
          <w:lang w:val="en-GB"/>
        </w:rPr>
        <w:lastRenderedPageBreak/>
        <w:t>Appendix C – Literature Limitations</w:t>
      </w:r>
    </w:p>
    <w:tbl>
      <w:tblPr>
        <w:tblW w:w="0" w:type="auto"/>
        <w:tblInd w:w="-10" w:type="dxa"/>
        <w:tblLayout w:type="fixed"/>
        <w:tblCellMar>
          <w:left w:w="0" w:type="dxa"/>
          <w:right w:w="0" w:type="dxa"/>
        </w:tblCellMar>
        <w:tblLook w:val="0000" w:firstRow="0" w:lastRow="0" w:firstColumn="0" w:lastColumn="0" w:noHBand="0" w:noVBand="0"/>
      </w:tblPr>
      <w:tblGrid>
        <w:gridCol w:w="2690"/>
        <w:gridCol w:w="10250"/>
      </w:tblGrid>
      <w:tr w:rsidR="003D1A2C" w:rsidRPr="003D1A2C" w14:paraId="02A1DCFA" w14:textId="77777777">
        <w:trPr>
          <w:trHeight w:val="60"/>
          <w:tblHeader/>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96F002"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b/>
                <w:bCs/>
                <w:color w:val="000000"/>
                <w:lang w:val="en-GB"/>
              </w:rPr>
              <w:t>Reference</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24BC6" w14:textId="77777777" w:rsidR="003D1A2C" w:rsidRPr="003D1A2C" w:rsidRDefault="003D1A2C" w:rsidP="00571ABF">
            <w:pPr>
              <w:autoSpaceDE w:val="0"/>
              <w:autoSpaceDN w:val="0"/>
              <w:adjustRightInd w:val="0"/>
              <w:spacing w:after="0" w:line="240" w:lineRule="auto"/>
              <w:rPr>
                <w:rFonts w:ascii="Georgia" w:hAnsi="Georgia"/>
                <w:sz w:val="24"/>
                <w:szCs w:val="24"/>
              </w:rPr>
            </w:pPr>
          </w:p>
        </w:tc>
      </w:tr>
      <w:tr w:rsidR="003D1A2C" w:rsidRPr="003D1A2C" w14:paraId="58B843F1" w14:textId="77777777">
        <w:trPr>
          <w:trHeight w:val="1577"/>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A70178"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Martin et al., 2019, p. 100</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F0173D"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 xml:space="preserve">In our review of the literature, we found that the discourse among researchers on the competency frameworks, roles, requirements, and tasks to teach online is rich. There is, however, limited research on the readiness of faculty to perform these online teaching competencies. More importantly, such competencies differ for faculty by culture, contexts, organizations, and countries (Aydin, 2005; </w:t>
            </w:r>
            <w:proofErr w:type="spellStart"/>
            <w:r w:rsidRPr="003D1A2C">
              <w:rPr>
                <w:rFonts w:ascii="Georgia" w:hAnsi="Georgia" w:cs="Georgia"/>
                <w:color w:val="000000"/>
                <w:sz w:val="20"/>
                <w:szCs w:val="20"/>
                <w:lang w:val="en-GB"/>
              </w:rPr>
              <w:t>Bawane</w:t>
            </w:r>
            <w:proofErr w:type="spellEnd"/>
            <w:r w:rsidRPr="003D1A2C">
              <w:rPr>
                <w:rFonts w:ascii="Georgia" w:hAnsi="Georgia" w:cs="Georgia"/>
                <w:color w:val="000000"/>
                <w:sz w:val="20"/>
                <w:szCs w:val="20"/>
                <w:lang w:val="en-GB"/>
              </w:rPr>
              <w:t xml:space="preserve"> &amp; Spector, 2009; Guasch et al., 2010; Williams, 2003), which in turn implies that readiness will vary by these same factors. Thus, there is a need to further study faculty readiness to teach online. </w:t>
            </w:r>
          </w:p>
        </w:tc>
      </w:tr>
      <w:tr w:rsidR="003D1A2C" w:rsidRPr="003D1A2C" w14:paraId="538AEF9F" w14:textId="77777777">
        <w:trPr>
          <w:trHeight w:val="1368"/>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136B04"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Dindar</w:t>
            </w:r>
            <w:proofErr w:type="spellEnd"/>
            <w:r w:rsidRPr="003D1A2C">
              <w:rPr>
                <w:rFonts w:ascii="Georgia" w:hAnsi="Georgia" w:cs="Georgia"/>
                <w:color w:val="000000"/>
                <w:lang w:val="en-GB"/>
              </w:rPr>
              <w:t xml:space="preserve"> et al., 2021, p. 1556</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FD3298"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 xml:space="preserve">Nevertheless, the current literature offers little understanding about teachers’ technology acceptance in extraordinary circumstances such as Corona pandemic. Further, studies comparing technology acceptance of teachers who are at different stages of adoption process mostly measured technology acceptance in terms of behavioural intention (Scherer &amp; Teo, 2019). However, the affective outcomes of technology acceptance (e.g., satisfaction) across different teacher profiles is yet to be explored.  </w:t>
            </w:r>
          </w:p>
        </w:tc>
      </w:tr>
      <w:tr w:rsidR="003D1A2C" w:rsidRPr="003D1A2C" w14:paraId="2FA337BC" w14:textId="77777777">
        <w:trPr>
          <w:trHeight w:val="611"/>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179117"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Wingo et al., 2017, p. 18</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25C92A"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Using these search terms in Academic Search Premier, CINAHL Plus with Full Text, ERIC, and Education Full Text (H. W. Wilson), we found only three articles from peer-reviewed journals that specifically applied the TAM to higher education faculty who were teaching in an online environment.  A search on Google Scholar using “Technology Acceptance Model,” “faculty,” and “online” yielded 598 results, but a scan of these abstracts again revealed that most of the studies were using data about students or were focused on marketing or online employee training.</w:t>
            </w:r>
          </w:p>
        </w:tc>
      </w:tr>
      <w:tr w:rsidR="003D1A2C" w:rsidRPr="003D1A2C" w14:paraId="741C9AFD" w14:textId="77777777">
        <w:trPr>
          <w:trHeight w:val="611"/>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9DFB38"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Al-</w:t>
            </w:r>
            <w:proofErr w:type="spellStart"/>
            <w:r w:rsidRPr="003D1A2C">
              <w:rPr>
                <w:rFonts w:ascii="Georgia" w:hAnsi="Georgia" w:cs="Georgia"/>
                <w:color w:val="000000"/>
                <w:lang w:val="en-GB"/>
              </w:rPr>
              <w:t>Busaidi</w:t>
            </w:r>
            <w:proofErr w:type="spellEnd"/>
            <w:r w:rsidRPr="003D1A2C">
              <w:rPr>
                <w:rFonts w:ascii="Georgia" w:hAnsi="Georgia" w:cs="Georgia"/>
                <w:color w:val="000000"/>
                <w:lang w:val="en-GB"/>
              </w:rPr>
              <w:t xml:space="preserve"> &amp; Al-</w:t>
            </w:r>
            <w:proofErr w:type="spellStart"/>
            <w:r w:rsidRPr="003D1A2C">
              <w:rPr>
                <w:rFonts w:ascii="Georgia" w:hAnsi="Georgia" w:cs="Georgia"/>
                <w:color w:val="000000"/>
                <w:lang w:val="en-GB"/>
              </w:rPr>
              <w:t>Shihi</w:t>
            </w:r>
            <w:proofErr w:type="spellEnd"/>
            <w:r w:rsidRPr="003D1A2C">
              <w:rPr>
                <w:rFonts w:ascii="Georgia" w:hAnsi="Georgia" w:cs="Georgia"/>
                <w:color w:val="000000"/>
                <w:lang w:val="en-GB"/>
              </w:rPr>
              <w:t>, 2012, p. 21</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BB579A"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 xml:space="preserve">None of these studies, however, empirically investigated the direct impact of instructors’ characteristics, LMS characteristics, and/or organizational characteristics on instructors’ satisfaction.  </w:t>
            </w:r>
          </w:p>
        </w:tc>
      </w:tr>
      <w:tr w:rsidR="003D1A2C" w:rsidRPr="003D1A2C" w14:paraId="0D43C474" w14:textId="77777777">
        <w:trPr>
          <w:trHeight w:val="1080"/>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72D96B"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 xml:space="preserve">Downing and </w:t>
            </w:r>
            <w:proofErr w:type="spellStart"/>
            <w:r w:rsidRPr="003D1A2C">
              <w:rPr>
                <w:rFonts w:ascii="Georgia" w:hAnsi="Georgia" w:cs="Georgia"/>
                <w:color w:val="000000"/>
                <w:lang w:val="en-GB"/>
              </w:rPr>
              <w:t>Dyment</w:t>
            </w:r>
            <w:proofErr w:type="spellEnd"/>
            <w:r w:rsidRPr="003D1A2C">
              <w:rPr>
                <w:rFonts w:ascii="Georgia" w:hAnsi="Georgia" w:cs="Georgia"/>
                <w:color w:val="000000"/>
                <w:lang w:val="en-GB"/>
              </w:rPr>
              <w:t>, 2013, p. 99</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0B9AF0"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Despite this emergence of literature in the teacher education sector, many aspects of online education remain unexplored. As others note (Georgina &amp; Olson, 2008; Tao &amp; Yeh, 2008; Wray et al., 2008), there is scant literature on the experiences and beliefs of education faculty staff on their readiness and preparation for online teaching; or their beliefs in relation to the appropriateness of online education for preservice teachers.</w:t>
            </w:r>
          </w:p>
        </w:tc>
      </w:tr>
      <w:tr w:rsidR="003D1A2C" w:rsidRPr="003D1A2C" w14:paraId="5A4C7697" w14:textId="77777777">
        <w:trPr>
          <w:trHeight w:val="1118"/>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D452C1"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lastRenderedPageBreak/>
              <w:t>Mouakket</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Bettayeb</w:t>
            </w:r>
            <w:proofErr w:type="spellEnd"/>
            <w:r w:rsidRPr="003D1A2C">
              <w:rPr>
                <w:rFonts w:ascii="Georgia" w:hAnsi="Georgia" w:cs="Georgia"/>
                <w:color w:val="000000"/>
                <w:lang w:val="en-GB"/>
              </w:rPr>
              <w:t>, 2015, p. 491</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7B44C"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 xml:space="preserve">Prior studies have focused mainly on the learners’ perception of LMS (Yi and Hwang, 2003; Ngai et al., 2007; </w:t>
            </w:r>
            <w:proofErr w:type="spellStart"/>
            <w:r w:rsidRPr="003D1A2C">
              <w:rPr>
                <w:rFonts w:ascii="Georgia" w:hAnsi="Georgia" w:cs="Georgia"/>
                <w:color w:val="000000"/>
                <w:sz w:val="20"/>
                <w:szCs w:val="20"/>
                <w:lang w:val="en-GB"/>
              </w:rPr>
              <w:t>Liaw</w:t>
            </w:r>
            <w:proofErr w:type="spellEnd"/>
            <w:r w:rsidRPr="003D1A2C">
              <w:rPr>
                <w:rFonts w:ascii="Georgia" w:hAnsi="Georgia" w:cs="Georgia"/>
                <w:color w:val="000000"/>
                <w:sz w:val="20"/>
                <w:szCs w:val="20"/>
                <w:lang w:val="en-GB"/>
              </w:rPr>
              <w:t xml:space="preserve">, 2008; </w:t>
            </w:r>
            <w:proofErr w:type="spellStart"/>
            <w:r w:rsidRPr="003D1A2C">
              <w:rPr>
                <w:rFonts w:ascii="Georgia" w:hAnsi="Georgia" w:cs="Georgia"/>
                <w:color w:val="000000"/>
                <w:sz w:val="20"/>
                <w:szCs w:val="20"/>
                <w:lang w:val="en-GB"/>
              </w:rPr>
              <w:t>Limayem</w:t>
            </w:r>
            <w:proofErr w:type="spellEnd"/>
            <w:r w:rsidRPr="003D1A2C">
              <w:rPr>
                <w:rFonts w:ascii="Georgia" w:hAnsi="Georgia" w:cs="Georgia"/>
                <w:color w:val="000000"/>
                <w:sz w:val="20"/>
                <w:szCs w:val="20"/>
                <w:lang w:val="en-GB"/>
              </w:rPr>
              <w:t xml:space="preserve"> and Cheung, 2008; </w:t>
            </w:r>
            <w:proofErr w:type="spellStart"/>
            <w:r w:rsidRPr="003D1A2C">
              <w:rPr>
                <w:rFonts w:ascii="Georgia" w:hAnsi="Georgia" w:cs="Georgia"/>
                <w:color w:val="000000"/>
                <w:sz w:val="20"/>
                <w:szCs w:val="20"/>
                <w:lang w:val="en-GB"/>
              </w:rPr>
              <w:t>Paechter</w:t>
            </w:r>
            <w:proofErr w:type="spellEnd"/>
            <w:r w:rsidRPr="003D1A2C">
              <w:rPr>
                <w:rFonts w:ascii="Georgia" w:hAnsi="Georgia" w:cs="Georgia"/>
                <w:color w:val="000000"/>
                <w:sz w:val="20"/>
                <w:szCs w:val="20"/>
                <w:lang w:val="en-GB"/>
              </w:rPr>
              <w:t xml:space="preserve"> et al., 2010; </w:t>
            </w:r>
            <w:proofErr w:type="spellStart"/>
            <w:r w:rsidRPr="003D1A2C">
              <w:rPr>
                <w:rFonts w:ascii="Georgia" w:hAnsi="Georgia" w:cs="Georgia"/>
                <w:color w:val="000000"/>
                <w:sz w:val="20"/>
                <w:szCs w:val="20"/>
                <w:lang w:val="en-GB"/>
              </w:rPr>
              <w:t>Tarhinia</w:t>
            </w:r>
            <w:proofErr w:type="spellEnd"/>
            <w:r w:rsidRPr="003D1A2C">
              <w:rPr>
                <w:rFonts w:ascii="Georgia" w:hAnsi="Georgia" w:cs="Georgia"/>
                <w:color w:val="000000"/>
                <w:sz w:val="20"/>
                <w:szCs w:val="20"/>
                <w:lang w:val="en-GB"/>
              </w:rPr>
              <w:t xml:space="preserve"> et al., 2013; Chang, 2013), with less emphasis on investigating the instructors’ attitude toward this technology (</w:t>
            </w:r>
            <w:proofErr w:type="spellStart"/>
            <w:r w:rsidRPr="003D1A2C">
              <w:rPr>
                <w:rFonts w:ascii="Georgia" w:hAnsi="Georgia" w:cs="Georgia"/>
                <w:color w:val="000000"/>
                <w:sz w:val="20"/>
                <w:szCs w:val="20"/>
                <w:lang w:val="en-GB"/>
              </w:rPr>
              <w:t>Sørebø</w:t>
            </w:r>
            <w:proofErr w:type="spellEnd"/>
            <w:r w:rsidRPr="003D1A2C">
              <w:rPr>
                <w:rFonts w:ascii="Georgia" w:hAnsi="Georgia" w:cs="Georgia"/>
                <w:color w:val="000000"/>
                <w:sz w:val="20"/>
                <w:szCs w:val="20"/>
                <w:lang w:val="en-GB"/>
              </w:rPr>
              <w:t xml:space="preserve"> and </w:t>
            </w:r>
            <w:proofErr w:type="spellStart"/>
            <w:r w:rsidRPr="003D1A2C">
              <w:rPr>
                <w:rFonts w:ascii="Georgia" w:hAnsi="Georgia" w:cs="Georgia"/>
                <w:color w:val="000000"/>
                <w:sz w:val="20"/>
                <w:szCs w:val="20"/>
                <w:lang w:val="en-GB"/>
              </w:rPr>
              <w:t>Sørebø</w:t>
            </w:r>
            <w:proofErr w:type="spellEnd"/>
            <w:r w:rsidRPr="003D1A2C">
              <w:rPr>
                <w:rFonts w:ascii="Georgia" w:hAnsi="Georgia" w:cs="Georgia"/>
                <w:color w:val="000000"/>
                <w:sz w:val="20"/>
                <w:szCs w:val="20"/>
                <w:lang w:val="en-GB"/>
              </w:rPr>
              <w:t>, 2009; Al-</w:t>
            </w:r>
            <w:proofErr w:type="spellStart"/>
            <w:r w:rsidRPr="003D1A2C">
              <w:rPr>
                <w:rFonts w:ascii="Georgia" w:hAnsi="Georgia" w:cs="Georgia"/>
                <w:color w:val="000000"/>
                <w:sz w:val="20"/>
                <w:szCs w:val="20"/>
                <w:lang w:val="en-GB"/>
              </w:rPr>
              <w:t>Busaidi</w:t>
            </w:r>
            <w:proofErr w:type="spellEnd"/>
            <w:r w:rsidRPr="003D1A2C">
              <w:rPr>
                <w:rFonts w:ascii="Georgia" w:hAnsi="Georgia" w:cs="Georgia"/>
                <w:color w:val="000000"/>
                <w:sz w:val="20"/>
                <w:szCs w:val="20"/>
                <w:lang w:val="en-GB"/>
              </w:rPr>
              <w:t xml:space="preserve"> and Al-</w:t>
            </w:r>
            <w:proofErr w:type="spellStart"/>
            <w:r w:rsidRPr="003D1A2C">
              <w:rPr>
                <w:rFonts w:ascii="Georgia" w:hAnsi="Georgia" w:cs="Georgia"/>
                <w:color w:val="000000"/>
                <w:sz w:val="20"/>
                <w:szCs w:val="20"/>
                <w:lang w:val="en-GB"/>
              </w:rPr>
              <w:t>Shihi</w:t>
            </w:r>
            <w:proofErr w:type="spellEnd"/>
            <w:r w:rsidRPr="003D1A2C">
              <w:rPr>
                <w:rFonts w:ascii="Georgia" w:hAnsi="Georgia" w:cs="Georgia"/>
                <w:color w:val="000000"/>
                <w:sz w:val="20"/>
                <w:szCs w:val="20"/>
                <w:lang w:val="en-GB"/>
              </w:rPr>
              <w:t xml:space="preserve">, 2012). </w:t>
            </w:r>
          </w:p>
        </w:tc>
      </w:tr>
      <w:tr w:rsidR="003D1A2C" w:rsidRPr="003D1A2C" w14:paraId="0F1406DE" w14:textId="77777777">
        <w:trPr>
          <w:trHeight w:val="60"/>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6E546C"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Almarashdeh</w:t>
            </w:r>
            <w:proofErr w:type="spellEnd"/>
            <w:r w:rsidRPr="003D1A2C">
              <w:rPr>
                <w:rFonts w:ascii="Georgia" w:hAnsi="Georgia" w:cs="Georgia"/>
                <w:color w:val="000000"/>
                <w:lang w:val="en-GB"/>
              </w:rPr>
              <w:t>, 2016, p. 249</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99DB6"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 xml:space="preserve">There are only a few studies have been carried out to measure </w:t>
            </w:r>
            <w:proofErr w:type="gramStart"/>
            <w:r w:rsidRPr="003D1A2C">
              <w:rPr>
                <w:rFonts w:ascii="Georgia" w:hAnsi="Georgia" w:cs="Georgia"/>
                <w:color w:val="000000"/>
                <w:sz w:val="20"/>
                <w:szCs w:val="20"/>
                <w:lang w:val="en-GB"/>
              </w:rPr>
              <w:t>instructors</w:t>
            </w:r>
            <w:proofErr w:type="gramEnd"/>
            <w:r w:rsidRPr="003D1A2C">
              <w:rPr>
                <w:rFonts w:ascii="Georgia" w:hAnsi="Georgia" w:cs="Georgia"/>
                <w:color w:val="000000"/>
                <w:sz w:val="20"/>
                <w:szCs w:val="20"/>
                <w:lang w:val="en-GB"/>
              </w:rPr>
              <w:t xml:space="preserve"> satisfaction in distance learning courses, although instructors satisfaction is considered as very important for the course involvement and increasing the students interactions with the course content. </w:t>
            </w:r>
          </w:p>
        </w:tc>
      </w:tr>
      <w:tr w:rsidR="003D1A2C" w:rsidRPr="003D1A2C" w14:paraId="42DDE420" w14:textId="77777777">
        <w:trPr>
          <w:trHeight w:val="60"/>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582B86"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Garone</w:t>
            </w:r>
            <w:proofErr w:type="spellEnd"/>
            <w:r w:rsidRPr="003D1A2C">
              <w:rPr>
                <w:rFonts w:ascii="Georgia" w:hAnsi="Georgia" w:cs="Georgia"/>
                <w:color w:val="000000"/>
                <w:lang w:val="en-GB"/>
              </w:rPr>
              <w:t xml:space="preserve"> et al., 2019, p. 2466</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8A61FC"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While students are mostly the focus of research on technology acceptance in higher education, university teaching staff are predominantly overlooked.</w:t>
            </w:r>
          </w:p>
        </w:tc>
      </w:tr>
      <w:tr w:rsidR="003D1A2C" w:rsidRPr="003D1A2C" w14:paraId="477991E5" w14:textId="77777777">
        <w:trPr>
          <w:trHeight w:val="60"/>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588D3"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Machajewski</w:t>
            </w:r>
            <w:proofErr w:type="spellEnd"/>
            <w:r w:rsidRPr="003D1A2C">
              <w:rPr>
                <w:rFonts w:ascii="Georgia" w:hAnsi="Georgia" w:cs="Georgia"/>
                <w:color w:val="000000"/>
                <w:lang w:val="en-GB"/>
              </w:rPr>
              <w:t xml:space="preserve"> et al., 2019, p. 544</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DEE163"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There are few empirical studies that have looked at faculty instructional use of the LMS using data from the databases supporting the LMS itself.</w:t>
            </w:r>
          </w:p>
        </w:tc>
      </w:tr>
      <w:tr w:rsidR="003D1A2C" w:rsidRPr="003D1A2C" w14:paraId="2B7333C7" w14:textId="77777777">
        <w:trPr>
          <w:trHeight w:val="60"/>
        </w:trPr>
        <w:tc>
          <w:tcPr>
            <w:tcW w:w="2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DECCA5"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Asgari</w:t>
            </w:r>
            <w:proofErr w:type="spellEnd"/>
            <w:r w:rsidRPr="003D1A2C">
              <w:rPr>
                <w:rFonts w:ascii="Georgia" w:hAnsi="Georgia" w:cs="Georgia"/>
                <w:color w:val="000000"/>
                <w:lang w:val="en-GB"/>
              </w:rPr>
              <w:t xml:space="preserve"> et al., 2021, p. 2</w:t>
            </w:r>
          </w:p>
        </w:tc>
        <w:tc>
          <w:tcPr>
            <w:tcW w:w="10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5D903D"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sz w:val="20"/>
                <w:szCs w:val="20"/>
                <w:lang w:val="en-GB"/>
              </w:rPr>
              <w:t>Despite the existing literature on online engineering education, to the best of our knowledge, there has been no thorough (quantitative and qualitive) analysis of challenges and factors affecting the pandemic online engineering education in the universities that were mainly offering face-to-face classes pre-pandemic.</w:t>
            </w:r>
          </w:p>
        </w:tc>
      </w:tr>
    </w:tbl>
    <w:p w14:paraId="3ADA32A3" w14:textId="77777777" w:rsidR="003D1A2C" w:rsidRDefault="003D1A2C" w:rsidP="003D1A2C">
      <w:pPr>
        <w:pStyle w:val="toc"/>
        <w:ind w:left="0" w:firstLine="720"/>
        <w:sectPr w:rsidR="003D1A2C" w:rsidSect="003D1A2C">
          <w:pgSz w:w="15840" w:h="12240" w:orient="landscape"/>
          <w:pgMar w:top="1440" w:right="1440" w:bottom="1440" w:left="1440" w:header="720" w:footer="720" w:gutter="0"/>
          <w:cols w:space="720"/>
          <w:noEndnote/>
          <w:docGrid w:linePitch="299"/>
        </w:sectPr>
      </w:pPr>
    </w:p>
    <w:p w14:paraId="5CB6B367" w14:textId="130D746F" w:rsidR="003D1A2C" w:rsidRDefault="003D1A2C" w:rsidP="003D1A2C">
      <w:pPr>
        <w:pStyle w:val="toc"/>
        <w:ind w:left="0" w:firstLine="720"/>
      </w:pPr>
      <w:r>
        <w:object w:dxaOrig="7345" w:dyaOrig="9504" w14:anchorId="0E7E0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475.2pt" o:ole="">
            <v:imagedata r:id="rId44" o:title=""/>
          </v:shape>
          <o:OLEObject Type="Embed" ProgID="Acrobat.Document.DC" ShapeID="_x0000_i1025" DrawAspect="Content" ObjectID="_1733331008" r:id="rId45"/>
        </w:object>
      </w:r>
    </w:p>
    <w:p w14:paraId="3F6EE19A" w14:textId="77777777" w:rsidR="003D1A2C" w:rsidRDefault="003D1A2C" w:rsidP="003D1A2C">
      <w:pPr>
        <w:pStyle w:val="toc"/>
        <w:ind w:left="0" w:firstLine="720"/>
        <w:sectPr w:rsidR="003D1A2C" w:rsidSect="003D1A2C">
          <w:pgSz w:w="12240" w:h="15840"/>
          <w:pgMar w:top="720" w:right="720" w:bottom="720" w:left="720" w:header="720" w:footer="720" w:gutter="0"/>
          <w:cols w:space="720"/>
          <w:noEndnote/>
          <w:docGrid w:linePitch="299"/>
        </w:sectPr>
      </w:pPr>
    </w:p>
    <w:p w14:paraId="1E1359FE"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b/>
          <w:bCs/>
          <w:color w:val="000000"/>
          <w:lang w:val="en-GB"/>
        </w:rPr>
      </w:pPr>
      <w:r w:rsidRPr="003D1A2C">
        <w:rPr>
          <w:rFonts w:ascii="Georgia" w:hAnsi="Georgia" w:cs="Georgia"/>
          <w:b/>
          <w:bCs/>
          <w:color w:val="000000"/>
          <w:lang w:val="en-GB"/>
        </w:rPr>
        <w:lastRenderedPageBreak/>
        <w:t>Appendix E – TAM literature reviews</w:t>
      </w:r>
    </w:p>
    <w:p w14:paraId="67701AC5"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1790"/>
        <w:gridCol w:w="5040"/>
        <w:gridCol w:w="6088"/>
      </w:tblGrid>
      <w:tr w:rsidR="003D1A2C" w:rsidRPr="003D1A2C" w14:paraId="57C47A69" w14:textId="77777777">
        <w:trPr>
          <w:trHeight w:val="60"/>
          <w:tblHeader/>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BFEBEE"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Author(s)</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CAE6AC"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Review Method</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02CD4"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Main findings and conclusions</w:t>
            </w:r>
          </w:p>
        </w:tc>
      </w:tr>
      <w:tr w:rsidR="003D1A2C" w:rsidRPr="003D1A2C" w14:paraId="7CF891B6" w14:textId="77777777">
        <w:trPr>
          <w:trHeight w:val="869"/>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98ED3B"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Lee et al.</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D1B72B"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Analysis of TAM’s history and prediction of its future trajectory</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CB214"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Progress and discoveries of TAM in </w:t>
            </w:r>
            <w:proofErr w:type="gramStart"/>
            <w:r w:rsidRPr="003D1A2C">
              <w:rPr>
                <w:rFonts w:ascii="Georgia" w:hAnsi="Georgia" w:cs="Georgia"/>
                <w:color w:val="000000"/>
                <w:lang w:val="en-GB"/>
              </w:rPr>
              <w:t>time period</w:t>
            </w:r>
            <w:proofErr w:type="gramEnd"/>
            <w:r w:rsidRPr="003D1A2C">
              <w:rPr>
                <w:rFonts w:ascii="Georgia" w:hAnsi="Georgia" w:cs="Georgia"/>
                <w:color w:val="000000"/>
                <w:lang w:val="en-GB"/>
              </w:rPr>
              <w:t xml:space="preserve"> 1986–2003; identification of future directions</w:t>
            </w:r>
          </w:p>
        </w:tc>
      </w:tr>
      <w:tr w:rsidR="003D1A2C" w:rsidRPr="003D1A2C" w14:paraId="1E3A4BFE" w14:textId="77777777">
        <w:trPr>
          <w:trHeight w:val="72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FAFB69"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Legris</w:t>
            </w:r>
            <w:proofErr w:type="spellEnd"/>
            <w:r w:rsidRPr="003D1A2C">
              <w:rPr>
                <w:rFonts w:ascii="Georgia" w:hAnsi="Georgia" w:cs="Georgia"/>
                <w:color w:val="000000"/>
                <w:lang w:val="en-GB"/>
              </w:rPr>
              <w:t xml:space="preserve"> et al. </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8BD492"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Analysis of empirical research of TAM</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66AE52"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Results not entirely consistent or clear; significant factors are not included in the model </w:t>
            </w:r>
          </w:p>
        </w:tc>
      </w:tr>
      <w:tr w:rsidR="003D1A2C" w:rsidRPr="003D1A2C" w14:paraId="2E4E24FC" w14:textId="77777777">
        <w:trPr>
          <w:trHeight w:val="611"/>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21EB3"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King and He</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0812F"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Statistical meta-analysis of TAM studies</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C8BED8"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Valid and robust model with potential of broader applicability </w:t>
            </w:r>
          </w:p>
        </w:tc>
      </w:tr>
      <w:tr w:rsidR="003D1A2C" w:rsidRPr="003D1A2C" w14:paraId="024A9B7A" w14:textId="77777777">
        <w:trPr>
          <w:trHeight w:val="82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ED9A16"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Sharp</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3CFCDB"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Examination of development, extension, and application of TAM</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BD469C"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Identification of three specific areas for future research </w:t>
            </w:r>
          </w:p>
        </w:tc>
      </w:tr>
      <w:tr w:rsidR="003D1A2C" w:rsidRPr="003D1A2C" w14:paraId="25147EC1" w14:textId="77777777">
        <w:trPr>
          <w:trHeight w:val="72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3B51C5"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Chuttur</w:t>
            </w:r>
            <w:proofErr w:type="spellEnd"/>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C99C2"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Analysis of theoretical assumptions and practical effectiveness of TAM</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6371DF"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AM lacks sufficient and rigorous research</w:t>
            </w:r>
          </w:p>
        </w:tc>
      </w:tr>
      <w:tr w:rsidR="003D1A2C" w:rsidRPr="003D1A2C" w14:paraId="519337B2" w14:textId="77777777">
        <w:trPr>
          <w:trHeight w:val="72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4F746D"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Turner et al.</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3249EB"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Analysis of TAM in the context of technology usage prediction</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4AB1C9"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TAM usage outside the context in which it has been validated requires thoughtful consideration </w:t>
            </w:r>
          </w:p>
        </w:tc>
      </w:tr>
      <w:tr w:rsidR="003D1A2C" w:rsidRPr="003D1A2C" w14:paraId="5F6CDA91" w14:textId="77777777">
        <w:trPr>
          <w:trHeight w:val="6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CC930A"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HSiao</w:t>
            </w:r>
            <w:proofErr w:type="spellEnd"/>
            <w:r w:rsidRPr="003D1A2C">
              <w:rPr>
                <w:rFonts w:ascii="Georgia" w:hAnsi="Georgia" w:cs="Georgia"/>
                <w:color w:val="000000"/>
                <w:lang w:val="en-GB"/>
              </w:rPr>
              <w:t xml:space="preserve"> and Yang </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31A546"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Statistical analysis of TAM studies</w:t>
            </w:r>
          </w:p>
        </w:tc>
        <w:tc>
          <w:tcPr>
            <w:tcW w:w="6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9E4292" w14:textId="77777777" w:rsidR="003D1A2C" w:rsidRPr="003D1A2C" w:rsidRDefault="003D1A2C" w:rsidP="00571ABF">
            <w:pPr>
              <w:autoSpaceDE w:val="0"/>
              <w:autoSpaceDN w:val="0"/>
              <w:adjustRightInd w:val="0"/>
              <w:spacing w:after="0" w:line="360" w:lineRule="auto"/>
              <w:textAlignment w:val="center"/>
              <w:rPr>
                <w:rFonts w:ascii="Georgia" w:hAnsi="Georgia" w:cs="Georgia"/>
                <w:color w:val="000000"/>
                <w:lang w:val="en-GB"/>
              </w:rPr>
            </w:pPr>
            <w:r w:rsidRPr="003D1A2C">
              <w:rPr>
                <w:rFonts w:ascii="Georgia" w:hAnsi="Georgia" w:cs="Georgia"/>
                <w:color w:val="000000"/>
                <w:lang w:val="en-GB"/>
              </w:rPr>
              <w:t xml:space="preserve">Identification of three main trends in TAM application </w:t>
            </w:r>
          </w:p>
        </w:tc>
      </w:tr>
    </w:tbl>
    <w:p w14:paraId="6E09CC82"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p w14:paraId="08F77D48"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From: Technology acceptance model: a literature review from 1986 to 2013, (</w:t>
      </w:r>
      <w:proofErr w:type="spellStart"/>
      <w:r w:rsidRPr="003D1A2C">
        <w:rPr>
          <w:rFonts w:ascii="Georgia" w:hAnsi="Georgia" w:cs="Georgia"/>
          <w:color w:val="000000"/>
          <w:lang w:val="en-GB"/>
        </w:rPr>
        <w:t>Marangunić</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Granić</w:t>
      </w:r>
      <w:proofErr w:type="spellEnd"/>
      <w:r w:rsidRPr="003D1A2C">
        <w:rPr>
          <w:rFonts w:ascii="Georgia" w:hAnsi="Georgia" w:cs="Georgia"/>
          <w:color w:val="000000"/>
          <w:lang w:val="en-GB"/>
        </w:rPr>
        <w:t>, 2015)</w:t>
      </w:r>
    </w:p>
    <w:p w14:paraId="198DF5EC"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p w14:paraId="76200C23"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p w14:paraId="467E9DC4"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1790"/>
        <w:gridCol w:w="5040"/>
        <w:gridCol w:w="6149"/>
      </w:tblGrid>
      <w:tr w:rsidR="003D1A2C" w:rsidRPr="003D1A2C" w14:paraId="7811B4C7" w14:textId="77777777">
        <w:trPr>
          <w:trHeight w:val="60"/>
          <w:tblHeader/>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773635"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Author(s)</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67461A"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Review Method</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F92BCA"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Main findings and conclusions</w:t>
            </w:r>
          </w:p>
        </w:tc>
      </w:tr>
      <w:tr w:rsidR="003D1A2C" w:rsidRPr="003D1A2C" w14:paraId="020D127D" w14:textId="77777777">
        <w:trPr>
          <w:trHeight w:val="1646"/>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5132AC"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Dimitrijević</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Devedžić</w:t>
            </w:r>
            <w:proofErr w:type="spellEnd"/>
            <w:r w:rsidRPr="003D1A2C">
              <w:rPr>
                <w:rFonts w:ascii="Georgia" w:hAnsi="Georgia" w:cs="Georgia"/>
                <w:color w:val="000000"/>
                <w:lang w:val="en-GB"/>
              </w:rPr>
              <w:t>, 2021</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11DE67"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Systematic review on acceptance models for learning technology</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8E012A"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More research is especially needed when:</w:t>
            </w:r>
          </w:p>
          <w:p w14:paraId="42CF89E4"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 Participants are teachers/educators or learners other than university students</w:t>
            </w:r>
          </w:p>
          <w:p w14:paraId="2EE9BD4E"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  Learning technology is used in hedonic scenarios</w:t>
            </w:r>
          </w:p>
          <w:p w14:paraId="58102C21"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  A learning environment is informal</w:t>
            </w:r>
          </w:p>
          <w:p w14:paraId="7F79E32C"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p>
        </w:tc>
      </w:tr>
      <w:tr w:rsidR="003D1A2C" w:rsidRPr="003D1A2C" w14:paraId="367DD19F" w14:textId="77777777">
        <w:trPr>
          <w:trHeight w:val="326"/>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8AF07E" w14:textId="77777777" w:rsidR="003D1A2C" w:rsidRPr="003D1A2C" w:rsidRDefault="003D1A2C" w:rsidP="003D1A2C">
            <w:pPr>
              <w:autoSpaceDE w:val="0"/>
              <w:autoSpaceDN w:val="0"/>
              <w:adjustRightInd w:val="0"/>
              <w:spacing w:after="0" w:line="240" w:lineRule="auto"/>
              <w:rPr>
                <w:rFonts w:ascii="Georgia" w:hAnsi="Georgia"/>
                <w:sz w:val="24"/>
                <w:szCs w:val="24"/>
              </w:rPr>
            </w:pP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38FC9F" w14:textId="77777777" w:rsidR="003D1A2C" w:rsidRPr="003D1A2C" w:rsidRDefault="003D1A2C" w:rsidP="00571ABF">
            <w:pPr>
              <w:autoSpaceDE w:val="0"/>
              <w:autoSpaceDN w:val="0"/>
              <w:adjustRightInd w:val="0"/>
              <w:spacing w:after="0" w:line="240" w:lineRule="auto"/>
              <w:rPr>
                <w:rFonts w:ascii="Georgia" w:hAnsi="Georgia"/>
                <w:sz w:val="24"/>
                <w:szCs w:val="24"/>
              </w:rPr>
            </w:pP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40515A" w14:textId="77777777" w:rsidR="003D1A2C" w:rsidRPr="003D1A2C" w:rsidRDefault="003D1A2C" w:rsidP="00571ABF">
            <w:pPr>
              <w:autoSpaceDE w:val="0"/>
              <w:autoSpaceDN w:val="0"/>
              <w:adjustRightInd w:val="0"/>
              <w:spacing w:after="0" w:line="240" w:lineRule="auto"/>
              <w:rPr>
                <w:rFonts w:ascii="Georgia" w:hAnsi="Georgia"/>
                <w:sz w:val="24"/>
                <w:szCs w:val="24"/>
              </w:rPr>
            </w:pPr>
          </w:p>
        </w:tc>
      </w:tr>
      <w:tr w:rsidR="003D1A2C" w:rsidRPr="003D1A2C" w14:paraId="226B39EB" w14:textId="77777777">
        <w:trPr>
          <w:trHeight w:val="611"/>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DF9822"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Kemp et al., 2019</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DBFBE4"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qualitative review, followed by ordered taxonomy</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5AFB66"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The taxonomy offers either “User Satisfaction” or “Perceived Enjoyment” within the “Affect” group as alternatives to “Anxiety”.</w:t>
            </w:r>
          </w:p>
        </w:tc>
      </w:tr>
      <w:tr w:rsidR="003D1A2C" w:rsidRPr="003D1A2C" w14:paraId="45F81794" w14:textId="77777777">
        <w:trPr>
          <w:trHeight w:val="82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99B940"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proofErr w:type="spellStart"/>
            <w:r w:rsidRPr="003D1A2C">
              <w:rPr>
                <w:rFonts w:ascii="Georgia" w:hAnsi="Georgia" w:cs="Georgia"/>
                <w:color w:val="000000"/>
                <w:lang w:val="en-GB"/>
              </w:rPr>
              <w:t>Marangunić</w:t>
            </w:r>
            <w:proofErr w:type="spellEnd"/>
            <w:r w:rsidRPr="003D1A2C">
              <w:rPr>
                <w:rFonts w:ascii="Georgia" w:hAnsi="Georgia" w:cs="Georgia"/>
                <w:color w:val="000000"/>
                <w:lang w:val="en-GB"/>
              </w:rPr>
              <w:t xml:space="preserve"> &amp; </w:t>
            </w:r>
            <w:proofErr w:type="spellStart"/>
            <w:r w:rsidRPr="003D1A2C">
              <w:rPr>
                <w:rFonts w:ascii="Georgia" w:hAnsi="Georgia" w:cs="Georgia"/>
                <w:color w:val="000000"/>
                <w:lang w:val="en-GB"/>
              </w:rPr>
              <w:t>Granić</w:t>
            </w:r>
            <w:proofErr w:type="spellEnd"/>
            <w:r w:rsidRPr="003D1A2C">
              <w:rPr>
                <w:rFonts w:ascii="Georgia" w:hAnsi="Georgia" w:cs="Georgia"/>
                <w:color w:val="000000"/>
                <w:lang w:val="en-GB"/>
              </w:rPr>
              <w:t>, 2015</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648DA9"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comprehensive concept-centric literature review</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9B7C2F"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Emotional factors such as computer anxiety or fear of failure and their interaction with gender or expertise should also be considered in the future research.</w:t>
            </w:r>
          </w:p>
        </w:tc>
      </w:tr>
      <w:tr w:rsidR="003D1A2C" w:rsidRPr="003D1A2C" w14:paraId="636C8E57" w14:textId="77777777">
        <w:trPr>
          <w:trHeight w:val="72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AD5005"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Scherer &amp; Teo, 2019</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E3C60D"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 xml:space="preserve">quantify the between-sample variation through meta-analytic structural equation </w:t>
            </w:r>
            <w:proofErr w:type="spellStart"/>
            <w:r w:rsidRPr="003D1A2C">
              <w:rPr>
                <w:rFonts w:ascii="Georgia" w:hAnsi="Georgia" w:cs="Georgia"/>
                <w:color w:val="000000"/>
                <w:lang w:val="en-GB"/>
              </w:rPr>
              <w:t>modeling</w:t>
            </w:r>
            <w:proofErr w:type="spellEnd"/>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31D2B1"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 xml:space="preserve">Support for the direct Perceived Usefulness --&gt; </w:t>
            </w:r>
            <w:proofErr w:type="spellStart"/>
            <w:r w:rsidRPr="003D1A2C">
              <w:rPr>
                <w:rFonts w:ascii="Georgia" w:hAnsi="Georgia" w:cs="Georgia"/>
                <w:color w:val="000000"/>
                <w:lang w:val="en-GB"/>
              </w:rPr>
              <w:t>Behavioral</w:t>
            </w:r>
            <w:proofErr w:type="spellEnd"/>
            <w:r w:rsidRPr="003D1A2C">
              <w:rPr>
                <w:rFonts w:ascii="Georgia" w:hAnsi="Georgia" w:cs="Georgia"/>
                <w:color w:val="000000"/>
                <w:lang w:val="en-GB"/>
              </w:rPr>
              <w:t xml:space="preserve"> Intention to Use effect</w:t>
            </w:r>
          </w:p>
        </w:tc>
      </w:tr>
      <w:tr w:rsidR="003D1A2C" w:rsidRPr="003D1A2C" w14:paraId="1FE79445" w14:textId="77777777">
        <w:trPr>
          <w:trHeight w:val="72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9D88BB"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lastRenderedPageBreak/>
              <w:t>Al-Emran et al., 2018</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9341B3"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systematically reviews and synthesizes the TAM studies related to M-learn</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4C7314"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the determinants of M-learning acceptance are still not clear</w:t>
            </w:r>
          </w:p>
        </w:tc>
      </w:tr>
      <w:tr w:rsidR="003D1A2C" w:rsidRPr="003D1A2C" w14:paraId="5F73F570" w14:textId="77777777">
        <w:trPr>
          <w:trHeight w:val="6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2FD1EB" w14:textId="77777777" w:rsidR="003D1A2C" w:rsidRPr="003D1A2C" w:rsidRDefault="003D1A2C" w:rsidP="003D1A2C">
            <w:pPr>
              <w:autoSpaceDE w:val="0"/>
              <w:autoSpaceDN w:val="0"/>
              <w:adjustRightInd w:val="0"/>
              <w:spacing w:after="0" w:line="528" w:lineRule="atLeast"/>
              <w:textAlignment w:val="center"/>
              <w:rPr>
                <w:rFonts w:ascii="Georgia" w:hAnsi="Georgia" w:cs="Georgia"/>
                <w:color w:val="000000"/>
                <w:lang w:val="en-GB"/>
              </w:rPr>
            </w:pPr>
            <w:r w:rsidRPr="003D1A2C">
              <w:rPr>
                <w:rFonts w:ascii="Georgia" w:hAnsi="Georgia" w:cs="Georgia"/>
                <w:color w:val="000000"/>
                <w:lang w:val="en-GB"/>
              </w:rPr>
              <w:t>Abdullah &amp; Ward, 2016</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94D659"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quantitative meta-analysis</w:t>
            </w:r>
          </w:p>
        </w:tc>
        <w:tc>
          <w:tcPr>
            <w:tcW w:w="61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EFF418" w14:textId="77777777" w:rsidR="003D1A2C" w:rsidRPr="003D1A2C" w:rsidRDefault="003D1A2C" w:rsidP="00571ABF">
            <w:pPr>
              <w:autoSpaceDE w:val="0"/>
              <w:autoSpaceDN w:val="0"/>
              <w:adjustRightInd w:val="0"/>
              <w:spacing w:after="0" w:line="240" w:lineRule="auto"/>
              <w:textAlignment w:val="center"/>
              <w:rPr>
                <w:rFonts w:ascii="Georgia" w:hAnsi="Georgia" w:cs="Georgia"/>
                <w:color w:val="000000"/>
                <w:lang w:val="en-GB"/>
              </w:rPr>
            </w:pPr>
            <w:r w:rsidRPr="003D1A2C">
              <w:rPr>
                <w:rFonts w:ascii="Georgia" w:hAnsi="Georgia" w:cs="Georgia"/>
                <w:color w:val="000000"/>
                <w:lang w:val="en-GB"/>
              </w:rPr>
              <w:t>The best predictor of student’s PU of e-learning systems is Enjoyment (β = 0.452)</w:t>
            </w:r>
          </w:p>
        </w:tc>
      </w:tr>
    </w:tbl>
    <w:p w14:paraId="7E9BB6C8" w14:textId="77777777" w:rsidR="003D1A2C" w:rsidRPr="003D1A2C" w:rsidRDefault="003D1A2C" w:rsidP="003D1A2C">
      <w:pPr>
        <w:autoSpaceDE w:val="0"/>
        <w:autoSpaceDN w:val="0"/>
        <w:adjustRightInd w:val="0"/>
        <w:spacing w:after="0" w:line="528" w:lineRule="atLeast"/>
        <w:jc w:val="center"/>
        <w:textAlignment w:val="center"/>
        <w:rPr>
          <w:rFonts w:ascii="Georgia" w:hAnsi="Georgia" w:cs="Georgia"/>
          <w:color w:val="000000"/>
          <w:lang w:val="en-GB"/>
        </w:rPr>
      </w:pPr>
    </w:p>
    <w:p w14:paraId="36C0027B" w14:textId="77777777" w:rsidR="003D1A2C" w:rsidRPr="003D1A2C" w:rsidRDefault="003D1A2C" w:rsidP="003D1A2C">
      <w:pPr>
        <w:autoSpaceDE w:val="0"/>
        <w:autoSpaceDN w:val="0"/>
        <w:adjustRightInd w:val="0"/>
        <w:spacing w:after="0" w:line="528" w:lineRule="atLeast"/>
        <w:ind w:firstLine="720"/>
        <w:textAlignment w:val="center"/>
        <w:rPr>
          <w:rFonts w:ascii="Georgia" w:hAnsi="Georgia" w:cs="Georgia"/>
          <w:color w:val="000000"/>
          <w:lang w:val="en-GB"/>
        </w:rPr>
      </w:pPr>
      <w:r w:rsidRPr="003D1A2C">
        <w:rPr>
          <w:rFonts w:ascii="Georgia" w:hAnsi="Georgia" w:cs="Georgia"/>
          <w:color w:val="000000"/>
          <w:lang w:val="en-GB"/>
        </w:rPr>
        <w:t>From Educational Technology Adoption: A systematic review (</w:t>
      </w:r>
      <w:proofErr w:type="spellStart"/>
      <w:r w:rsidRPr="003D1A2C">
        <w:rPr>
          <w:rFonts w:ascii="Georgia" w:hAnsi="Georgia" w:cs="Georgia"/>
          <w:color w:val="000000"/>
          <w:lang w:val="en-GB"/>
        </w:rPr>
        <w:t>Granić</w:t>
      </w:r>
      <w:proofErr w:type="spellEnd"/>
      <w:r w:rsidRPr="003D1A2C">
        <w:rPr>
          <w:rFonts w:ascii="Georgia" w:hAnsi="Georgia" w:cs="Georgia"/>
          <w:color w:val="000000"/>
          <w:lang w:val="en-GB"/>
        </w:rPr>
        <w:t>, 2022) p. 9728</w:t>
      </w:r>
    </w:p>
    <w:sectPr w:rsidR="003D1A2C" w:rsidRPr="003D1A2C" w:rsidSect="003D1A2C">
      <w:pgSz w:w="15840" w:h="12240"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B424" w14:textId="77777777" w:rsidR="000A6CB0" w:rsidRDefault="000A6CB0" w:rsidP="003D1A2C">
      <w:pPr>
        <w:spacing w:after="0" w:line="240" w:lineRule="auto"/>
      </w:pPr>
      <w:r>
        <w:separator/>
      </w:r>
    </w:p>
  </w:endnote>
  <w:endnote w:type="continuationSeparator" w:id="0">
    <w:p w14:paraId="58F3CA28" w14:textId="77777777" w:rsidR="000A6CB0" w:rsidRDefault="000A6CB0" w:rsidP="003D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124E" w14:textId="77777777" w:rsidR="000A6CB0" w:rsidRDefault="000A6CB0" w:rsidP="003D1A2C">
      <w:pPr>
        <w:spacing w:after="0" w:line="240" w:lineRule="auto"/>
      </w:pPr>
      <w:r>
        <w:separator/>
      </w:r>
    </w:p>
  </w:footnote>
  <w:footnote w:type="continuationSeparator" w:id="0">
    <w:p w14:paraId="26388154" w14:textId="77777777" w:rsidR="000A6CB0" w:rsidRDefault="000A6CB0" w:rsidP="003D1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76A0" w14:textId="7154209F" w:rsidR="003D1A2C" w:rsidRDefault="003D1A2C" w:rsidP="003D1A2C">
    <w:pPr>
      <w:pStyle w:val="Header"/>
      <w:jc w:val="right"/>
    </w:pPr>
    <w:r>
      <w:fldChar w:fldCharType="begin"/>
    </w:r>
    <w:r>
      <w:instrText xml:space="preserve"> PAGE  \* Arabic  \* MERGEFORMAT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2C"/>
    <w:rsid w:val="000A6CB0"/>
    <w:rsid w:val="00174D39"/>
    <w:rsid w:val="00322B6C"/>
    <w:rsid w:val="003D1A2C"/>
    <w:rsid w:val="00571ABF"/>
    <w:rsid w:val="008F49AD"/>
    <w:rsid w:val="00AB3A0A"/>
    <w:rsid w:val="00F9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972"/>
  <w15:chartTrackingRefBased/>
  <w15:docId w15:val="{B8EBA8FB-C2B2-4CEC-8362-CAC4BBD7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D1A2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3D1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2C"/>
  </w:style>
  <w:style w:type="paragraph" w:styleId="Footer">
    <w:name w:val="footer"/>
    <w:basedOn w:val="Normal"/>
    <w:link w:val="FooterChar"/>
    <w:uiPriority w:val="99"/>
    <w:unhideWhenUsed/>
    <w:rsid w:val="003D1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2C"/>
  </w:style>
  <w:style w:type="paragraph" w:customStyle="1" w:styleId="NoParagraphStyle">
    <w:name w:val="[No Paragraph Style]"/>
    <w:rsid w:val="003D1A2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oc">
    <w:name w:val="toc"/>
    <w:basedOn w:val="NoParagraphStyle"/>
    <w:uiPriority w:val="99"/>
    <w:rsid w:val="003D1A2C"/>
    <w:pPr>
      <w:spacing w:line="528" w:lineRule="atLeast"/>
      <w:ind w:left="720" w:hanging="720"/>
    </w:pPr>
    <w:rPr>
      <w:rFonts w:ascii="Georgia" w:hAnsi="Georgia" w:cs="Georgia"/>
      <w:sz w:val="22"/>
      <w:szCs w:val="22"/>
    </w:rPr>
  </w:style>
  <w:style w:type="character" w:styleId="Hyperlink">
    <w:name w:val="Hyperlink"/>
    <w:basedOn w:val="DefaultParagraphFont"/>
    <w:uiPriority w:val="99"/>
    <w:unhideWhenUsed/>
    <w:rsid w:val="003D1A2C"/>
    <w:rPr>
      <w:color w:val="0563C1" w:themeColor="hyperlink"/>
      <w:u w:val="single"/>
    </w:rPr>
  </w:style>
  <w:style w:type="character" w:styleId="UnresolvedMention">
    <w:name w:val="Unresolved Mention"/>
    <w:basedOn w:val="DefaultParagraphFont"/>
    <w:uiPriority w:val="99"/>
    <w:semiHidden/>
    <w:unhideWhenUsed/>
    <w:rsid w:val="003D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50041" TargetMode="External"/><Relationship Id="rId18" Type="http://schemas.openxmlformats.org/officeDocument/2006/relationships/hyperlink" Target="https://doi.org/10.1111/jcal.12552" TargetMode="External"/><Relationship Id="rId26" Type="http://schemas.openxmlformats.org/officeDocument/2006/relationships/hyperlink" Target="https://doi.org/10.26634/jet.18.1.17857" TargetMode="External"/><Relationship Id="rId39" Type="http://schemas.openxmlformats.org/officeDocument/2006/relationships/hyperlink" Target="https://www.unesco.org/en/covid-19/education-response" TargetMode="External"/><Relationship Id="rId21" Type="http://schemas.openxmlformats.org/officeDocument/2006/relationships/hyperlink" Target="https://doi.org/10.1111/bjet.12867" TargetMode="External"/><Relationship Id="rId34" Type="http://schemas.openxmlformats.org/officeDocument/2006/relationships/hyperlink" Target="https://doi.org/10.1016/j.iheduc.2009.07.001" TargetMode="External"/><Relationship Id="rId42" Type="http://schemas.openxmlformats.org/officeDocument/2006/relationships/hyperlink" Target="https://doi.org/10.1016/S1071-5819(03)00114-9" TargetMode="External"/><Relationship Id="rId47" Type="http://schemas.openxmlformats.org/officeDocument/2006/relationships/theme" Target="theme/theme1.xml"/><Relationship Id="rId7" Type="http://schemas.openxmlformats.org/officeDocument/2006/relationships/hyperlink" Target="https://doi.org/10.1016/j.chb.2015.11.036" TargetMode="External"/><Relationship Id="rId2" Type="http://schemas.openxmlformats.org/officeDocument/2006/relationships/settings" Target="settings.xml"/><Relationship Id="rId16" Type="http://schemas.openxmlformats.org/officeDocument/2006/relationships/hyperlink" Target="https://doi.org/10.1111/j.1559-1816.1992.tb00945.x" TargetMode="External"/><Relationship Id="rId29" Type="http://schemas.openxmlformats.org/officeDocument/2006/relationships/hyperlink" Target="https://doi.org/10.1007/s11528-018-0327-0"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1016/j.compedu.2018.06.008" TargetMode="External"/><Relationship Id="rId24" Type="http://schemas.openxmlformats.org/officeDocument/2006/relationships/hyperlink" Target="https://doi.org/10.1108/JARHE-06-2018-0105" TargetMode="External"/><Relationship Id="rId32" Type="http://schemas.openxmlformats.org/officeDocument/2006/relationships/hyperlink" Target="https://doi.org/10.3390/su142013261" TargetMode="External"/><Relationship Id="rId37" Type="http://schemas.openxmlformats.org/officeDocument/2006/relationships/hyperlink" Target="https://doi.org/10.3102/0034654308325896" TargetMode="External"/><Relationship Id="rId40" Type="http://schemas.openxmlformats.org/officeDocument/2006/relationships/hyperlink" Target="https://doi.org/10.2307/41410412" TargetMode="External"/><Relationship Id="rId45"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hyperlink" Target="https://doi.org/10.1016/j.compedu.2012.12.003" TargetMode="External"/><Relationship Id="rId23" Type="http://schemas.openxmlformats.org/officeDocument/2006/relationships/hyperlink" Target="https://doi.org/10.56059/jl4d.v9i2.617" TargetMode="External"/><Relationship Id="rId28" Type="http://schemas.openxmlformats.org/officeDocument/2006/relationships/hyperlink" Target="https://doi.org/10.1016/j.compedu.2020.103857" TargetMode="External"/><Relationship Id="rId36" Type="http://schemas.openxmlformats.org/officeDocument/2006/relationships/hyperlink" Target="https://doi.org/10.1016/j.edurev.2019.03.001" TargetMode="External"/><Relationship Id="rId10" Type="http://schemas.openxmlformats.org/officeDocument/2006/relationships/hyperlink" Target="https://doi.org/10.1007/978-3-030-64987-6_1" TargetMode="External"/><Relationship Id="rId19" Type="http://schemas.openxmlformats.org/officeDocument/2006/relationships/hyperlink" Target="https://doi.org/10.1080/08878730.2012.760023" TargetMode="External"/><Relationship Id="rId31" Type="http://schemas.openxmlformats.org/officeDocument/2006/relationships/hyperlink" Target="https://doi.org/10.24059/olj.v23i3.1555" TargetMode="External"/><Relationship Id="rId44"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https://doi.org/10.1007/s12528-011-9051-x" TargetMode="External"/><Relationship Id="rId14" Type="http://schemas.openxmlformats.org/officeDocument/2006/relationships/hyperlink" Target="https://doi.org/10.12973/ejmste/78076" TargetMode="External"/><Relationship Id="rId22" Type="http://schemas.openxmlformats.org/officeDocument/2006/relationships/hyperlink" Target="https://doi.org/10.1007/s10639-022-10951-7" TargetMode="External"/><Relationship Id="rId27" Type="http://schemas.openxmlformats.org/officeDocument/2006/relationships/hyperlink" Target="https://doi.org/10.1016/S0378-7206(01)00143-4" TargetMode="External"/><Relationship Id="rId30" Type="http://schemas.openxmlformats.org/officeDocument/2006/relationships/hyperlink" Target="https://doi.org/10.1007/s10209-014-0348-1" TargetMode="External"/><Relationship Id="rId35" Type="http://schemas.openxmlformats.org/officeDocument/2006/relationships/hyperlink" Target="https://doi.org/10.1007/978-3-030-64987-6_24" TargetMode="External"/><Relationship Id="rId43" Type="http://schemas.openxmlformats.org/officeDocument/2006/relationships/hyperlink" Target="https://doi.org/10.14742/ajet.2938" TargetMode="External"/><Relationship Id="rId8" Type="http://schemas.openxmlformats.org/officeDocument/2006/relationships/hyperlink" Target="https://doi.org/10.1109/ACCESS.2020.3004200" TargetMode="External"/><Relationship Id="rId3" Type="http://schemas.openxmlformats.org/officeDocument/2006/relationships/webSettings" Target="webSettings.xml"/><Relationship Id="rId12" Type="http://schemas.openxmlformats.org/officeDocument/2006/relationships/hyperlink" Target="https://doi.org/10.1016/j.chb.2016.05.013" TargetMode="External"/><Relationship Id="rId17" Type="http://schemas.openxmlformats.org/officeDocument/2006/relationships/hyperlink" Target="https://doi.org/10.1007/s11423-021-09970-x\" TargetMode="External"/><Relationship Id="rId25" Type="http://schemas.openxmlformats.org/officeDocument/2006/relationships/hyperlink" Target="https://doi.org/10.1111/bjet.12833" TargetMode="External"/><Relationship Id="rId33" Type="http://schemas.openxmlformats.org/officeDocument/2006/relationships/hyperlink" Target="https://doi.org/10.1108/IJWIS-03-2015-0008" TargetMode="External"/><Relationship Id="rId38" Type="http://schemas.openxmlformats.org/officeDocument/2006/relationships/hyperlink" Target="https://doi.org/10.1016/j.compedu.2011.03.002" TargetMode="External"/><Relationship Id="rId46" Type="http://schemas.openxmlformats.org/officeDocument/2006/relationships/fontTable" Target="fontTable.xml"/><Relationship Id="rId20" Type="http://schemas.openxmlformats.org/officeDocument/2006/relationships/hyperlink" Target="https://doi.org/10.1080/00131857.2021.2010541" TargetMode="External"/><Relationship Id="rId41" Type="http://schemas.openxmlformats.org/officeDocument/2006/relationships/hyperlink" Target="https://doi.org/10.24059/olj.v21i1.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28</Pages>
  <Words>6665</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Robert</dc:creator>
  <cp:keywords/>
  <dc:description/>
  <cp:lastModifiedBy>Lewis, Robert</cp:lastModifiedBy>
  <cp:revision>4</cp:revision>
  <cp:lastPrinted>2022-12-24T00:57:00Z</cp:lastPrinted>
  <dcterms:created xsi:type="dcterms:W3CDTF">2022-12-24T00:32:00Z</dcterms:created>
  <dcterms:modified xsi:type="dcterms:W3CDTF">2022-12-24T01:04:00Z</dcterms:modified>
</cp:coreProperties>
</file>